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CFC26" w14:textId="77777777" w:rsidR="003574D2" w:rsidRDefault="00AA0758">
      <w:pPr>
        <w:spacing w:after="0" w:line="259" w:lineRule="auto"/>
        <w:ind w:left="2" w:right="0" w:firstLine="0"/>
        <w:jc w:val="center"/>
      </w:pPr>
      <w:r>
        <w:rPr>
          <w:rFonts w:ascii="Calibri" w:eastAsia="Calibri" w:hAnsi="Calibri" w:cs="Calibri"/>
          <w:sz w:val="50"/>
        </w:rPr>
        <w:t xml:space="preserve">ESZKÖZTÁR </w:t>
      </w:r>
    </w:p>
    <w:p w14:paraId="1A021D0B" w14:textId="77777777" w:rsidR="003574D2" w:rsidRDefault="00AA0758">
      <w:pPr>
        <w:spacing w:after="25" w:line="247" w:lineRule="auto"/>
        <w:ind w:left="1956" w:right="1198"/>
        <w:jc w:val="left"/>
      </w:pPr>
      <w:r>
        <w:rPr>
          <w:rFonts w:ascii="Calibri" w:eastAsia="Calibri" w:hAnsi="Calibri" w:cs="Calibri"/>
          <w:sz w:val="50"/>
        </w:rPr>
        <w:t xml:space="preserve">A MUNKA ÉS MAGÁNÉLET </w:t>
      </w:r>
    </w:p>
    <w:p w14:paraId="5E20DD4D" w14:textId="77777777" w:rsidR="003574D2" w:rsidRDefault="00AA0758">
      <w:pPr>
        <w:spacing w:after="25" w:line="247" w:lineRule="auto"/>
        <w:ind w:left="2012" w:right="1198"/>
        <w:jc w:val="left"/>
      </w:pPr>
      <w:r>
        <w:rPr>
          <w:rFonts w:ascii="Calibri" w:eastAsia="Calibri" w:hAnsi="Calibri" w:cs="Calibri"/>
          <w:sz w:val="50"/>
        </w:rPr>
        <w:t xml:space="preserve">ÖSSZEEGYEZTETÉSÉNEK </w:t>
      </w:r>
    </w:p>
    <w:p w14:paraId="2DD6B68E" w14:textId="77777777" w:rsidR="003574D2" w:rsidRDefault="00AA0758">
      <w:pPr>
        <w:spacing w:after="25" w:line="247" w:lineRule="auto"/>
        <w:ind w:left="4522" w:right="1198" w:hanging="3248"/>
        <w:jc w:val="left"/>
      </w:pPr>
      <w:r>
        <w:rPr>
          <w:rFonts w:ascii="Calibri" w:eastAsia="Calibri" w:hAnsi="Calibri" w:cs="Calibri"/>
          <w:sz w:val="50"/>
        </w:rPr>
        <w:t xml:space="preserve">MUNKAHELYI TÁMOGATÁSÁHOZ </w:t>
      </w:r>
      <w:r>
        <w:rPr>
          <w:rFonts w:ascii="Calibri" w:eastAsia="Calibri" w:hAnsi="Calibri" w:cs="Calibri"/>
          <w:sz w:val="56"/>
        </w:rPr>
        <w:t xml:space="preserve"> </w:t>
      </w:r>
    </w:p>
    <w:p w14:paraId="2126286D" w14:textId="77777777" w:rsidR="003574D2" w:rsidRDefault="00AA0758">
      <w:pPr>
        <w:spacing w:after="183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4FE991F9" w14:textId="77777777" w:rsidR="003574D2" w:rsidRDefault="00AA0758">
      <w:pPr>
        <w:spacing w:after="183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4E91D606" w14:textId="77777777" w:rsidR="003574D2" w:rsidRDefault="00AA0758">
      <w:pPr>
        <w:spacing w:after="183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4BCC727B" w14:textId="77777777" w:rsidR="003574D2" w:rsidRDefault="00AA0758">
      <w:pPr>
        <w:spacing w:after="183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7D50AB67" w14:textId="77777777" w:rsidR="003574D2" w:rsidRDefault="00AA0758">
      <w:pPr>
        <w:spacing w:after="183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1ACC7CA4" w14:textId="77777777" w:rsidR="003574D2" w:rsidRDefault="00AA0758">
      <w:pPr>
        <w:spacing w:after="183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31D65A8C" w14:textId="77777777" w:rsidR="003574D2" w:rsidRDefault="00AA0758">
      <w:pPr>
        <w:spacing w:after="183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075C84D4" w14:textId="77777777" w:rsidR="003574D2" w:rsidRDefault="00AA0758">
      <w:pPr>
        <w:spacing w:after="183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036075F0" w14:textId="77777777" w:rsidR="003574D2" w:rsidRDefault="00AA0758">
      <w:pPr>
        <w:spacing w:after="183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26991F27" w14:textId="77777777" w:rsidR="003574D2" w:rsidRDefault="00AA0758">
      <w:pPr>
        <w:spacing w:after="183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5B4CE007" w14:textId="77777777" w:rsidR="003574D2" w:rsidRDefault="00AA0758">
      <w:pPr>
        <w:spacing w:after="18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2F3B439C" w14:textId="77777777" w:rsidR="003574D2" w:rsidRDefault="00AA075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F9D9410" w14:textId="77777777" w:rsidR="003574D2" w:rsidRDefault="00AA0758">
      <w:pPr>
        <w:spacing w:after="0" w:line="259" w:lineRule="auto"/>
        <w:ind w:left="1957" w:right="0" w:firstLine="0"/>
        <w:jc w:val="left"/>
      </w:pPr>
      <w:r>
        <w:rPr>
          <w:noProof/>
        </w:rPr>
        <w:drawing>
          <wp:inline distT="0" distB="0" distL="0" distR="0" wp14:anchorId="180CA1A6" wp14:editId="37A214C1">
            <wp:extent cx="3275711" cy="2239645"/>
            <wp:effectExtent l="0" t="0" r="0" b="0"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75711" cy="223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5DBDE" w14:textId="77777777" w:rsidR="003574D2" w:rsidRDefault="00AA0758">
      <w:pPr>
        <w:spacing w:after="0" w:line="259" w:lineRule="auto"/>
        <w:ind w:left="1957" w:right="1902" w:firstLine="0"/>
        <w:jc w:val="right"/>
      </w:pPr>
      <w:r>
        <w:t xml:space="preserve"> </w:t>
      </w:r>
    </w:p>
    <w:p w14:paraId="32109403" w14:textId="77777777" w:rsidR="003574D2" w:rsidRDefault="00AA0758">
      <w:pPr>
        <w:spacing w:after="0" w:line="259" w:lineRule="auto"/>
        <w:ind w:left="54" w:right="0" w:firstLine="0"/>
        <w:jc w:val="center"/>
      </w:pPr>
      <w:r>
        <w:t xml:space="preserve"> </w:t>
      </w:r>
    </w:p>
    <w:p w14:paraId="410B120E" w14:textId="77777777" w:rsidR="003574D2" w:rsidRDefault="00AA0758">
      <w:pPr>
        <w:spacing w:after="6" w:line="259" w:lineRule="auto"/>
        <w:ind w:left="54" w:right="0" w:firstLine="0"/>
        <w:jc w:val="center"/>
      </w:pPr>
      <w:r>
        <w:t xml:space="preserve"> </w:t>
      </w:r>
    </w:p>
    <w:p w14:paraId="60C06A31" w14:textId="77777777" w:rsidR="003574D2" w:rsidRDefault="00AA0758">
      <w:pPr>
        <w:tabs>
          <w:tab w:val="center" w:pos="4536"/>
          <w:tab w:val="center" w:pos="7694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 xml:space="preserve"> </w:t>
      </w:r>
    </w:p>
    <w:p w14:paraId="50B6C21A" w14:textId="77777777" w:rsidR="003574D2" w:rsidRDefault="00AA075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E41334B" w14:textId="77777777" w:rsidR="003574D2" w:rsidRDefault="00AA075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6598189" w14:textId="77777777" w:rsidR="003574D2" w:rsidRDefault="00AA075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2CB54EF" w14:textId="77777777" w:rsidR="003574D2" w:rsidRDefault="00AA0758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14:paraId="2D8651E2" w14:textId="77777777" w:rsidR="003574D2" w:rsidRDefault="00AA075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50004A6" w14:textId="77777777" w:rsidR="003574D2" w:rsidRDefault="00AA075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CBF1AF6" w14:textId="77777777" w:rsidR="003574D2" w:rsidRDefault="00AA075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A7A3439" w14:textId="77777777" w:rsidR="003574D2" w:rsidRDefault="00AA075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D3234EB" w14:textId="77777777" w:rsidR="003574D2" w:rsidRDefault="00AA075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A24D66A" w14:textId="77777777" w:rsidR="003574D2" w:rsidRDefault="00AA075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2427F71" w14:textId="77777777" w:rsidR="003574D2" w:rsidRDefault="00AA075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C1FF135" w14:textId="77777777" w:rsidR="003574D2" w:rsidRDefault="00AA075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0757251" w14:textId="77777777" w:rsidR="003574D2" w:rsidRDefault="00AA075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4AF7520" w14:textId="77777777" w:rsidR="003574D2" w:rsidRDefault="00AA075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A2D3574" w14:textId="77777777" w:rsidR="003574D2" w:rsidRDefault="00AA075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3685B09" w14:textId="77777777" w:rsidR="003574D2" w:rsidRDefault="00AA075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5795570" w14:textId="77777777" w:rsidR="003574D2" w:rsidRDefault="00AA075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ACF9C79" w14:textId="77777777" w:rsidR="003574D2" w:rsidRDefault="00AA075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9B2D8A7" w14:textId="77777777" w:rsidR="003574D2" w:rsidRDefault="00AA075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D2E3A8A" w14:textId="77777777" w:rsidR="003574D2" w:rsidRDefault="00AA075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18878A1" w14:textId="77777777" w:rsidR="003574D2" w:rsidRDefault="00AA075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B8890AE" w14:textId="77777777" w:rsidR="003574D2" w:rsidRDefault="00AA075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1233508" w14:textId="77777777" w:rsidR="003574D2" w:rsidRDefault="00AA075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EB65B3B" w14:textId="77777777" w:rsidR="003574D2" w:rsidRDefault="00AA075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4D6D2C8" w14:textId="77777777" w:rsidR="003574D2" w:rsidRDefault="00AA075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0610F2A" w14:textId="77777777" w:rsidR="003574D2" w:rsidRDefault="00AA0758">
      <w:pPr>
        <w:spacing w:after="0" w:line="259" w:lineRule="auto"/>
        <w:ind w:right="8"/>
        <w:jc w:val="center"/>
      </w:pPr>
      <w:r>
        <w:t>Írta és szerkesztette: Erdélyi Tea</w:t>
      </w:r>
      <w:r>
        <w:t xml:space="preserve"> </w:t>
      </w:r>
    </w:p>
    <w:p w14:paraId="268F5CD5" w14:textId="77777777" w:rsidR="003574D2" w:rsidRDefault="00AA0758">
      <w:pPr>
        <w:spacing w:after="0" w:line="259" w:lineRule="auto"/>
        <w:ind w:right="6"/>
        <w:jc w:val="center"/>
      </w:pPr>
      <w:r>
        <w:t xml:space="preserve">Szakmai lektor és felelős szerkesztő: </w:t>
      </w:r>
      <w:r>
        <w:t xml:space="preserve"> </w:t>
      </w:r>
    </w:p>
    <w:p w14:paraId="64E90F0D" w14:textId="77777777" w:rsidR="003574D2" w:rsidRDefault="00AA0758">
      <w:pPr>
        <w:spacing w:after="0" w:line="259" w:lineRule="auto"/>
        <w:ind w:right="9"/>
        <w:jc w:val="center"/>
      </w:pPr>
      <w:r>
        <w:t>Dr. Pirisi Károly</w:t>
      </w:r>
      <w:r>
        <w:t xml:space="preserve"> </w:t>
      </w:r>
    </w:p>
    <w:p w14:paraId="5BF34C5F" w14:textId="77777777" w:rsidR="003574D2" w:rsidRDefault="00AA0758">
      <w:pPr>
        <w:spacing w:after="0" w:line="259" w:lineRule="auto"/>
        <w:ind w:right="6"/>
        <w:jc w:val="center"/>
      </w:pPr>
      <w:r>
        <w:t xml:space="preserve">Kiadja: Budapest Esély Nonprofit Kft., </w:t>
      </w:r>
      <w:r>
        <w:t xml:space="preserve"> </w:t>
      </w:r>
    </w:p>
    <w:p w14:paraId="1FC5D2DF" w14:textId="77777777" w:rsidR="003574D2" w:rsidRDefault="00AA0758">
      <w:pPr>
        <w:spacing w:after="0" w:line="259" w:lineRule="auto"/>
        <w:ind w:right="10"/>
        <w:jc w:val="center"/>
      </w:pPr>
      <w:r>
        <w:t>Budapest, 2026</w:t>
      </w:r>
      <w:r>
        <w:t xml:space="preserve"> </w:t>
      </w:r>
    </w:p>
    <w:p w14:paraId="0337803E" w14:textId="77777777" w:rsidR="003574D2" w:rsidRDefault="00AA0758">
      <w:pPr>
        <w:tabs>
          <w:tab w:val="center" w:pos="4537"/>
          <w:tab w:val="center" w:pos="8745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 xml:space="preserve">ISBN 978-963-89878-0-8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Calibri" w:eastAsia="Calibri" w:hAnsi="Calibri" w:cs="Calibri"/>
        </w:rPr>
        <w:t xml:space="preserve"> </w:t>
      </w:r>
    </w:p>
    <w:p w14:paraId="444FC63C" w14:textId="77777777" w:rsidR="00A87D5F" w:rsidRDefault="00A87D5F">
      <w:pPr>
        <w:spacing w:after="160" w:line="278" w:lineRule="auto"/>
        <w:ind w:left="0" w:right="0" w:firstLine="0"/>
        <w:jc w:val="left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br w:type="page"/>
      </w:r>
    </w:p>
    <w:p w14:paraId="033F8C17" w14:textId="6C95A7B5" w:rsidR="003574D2" w:rsidRDefault="00AA0758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b/>
          <w:sz w:val="36"/>
        </w:rPr>
        <w:lastRenderedPageBreak/>
        <w:t xml:space="preserve">Tartalom </w:t>
      </w:r>
    </w:p>
    <w:sdt>
      <w:sdtPr>
        <w:rPr>
          <w:rFonts w:ascii="Georgia" w:eastAsia="Georgia" w:hAnsi="Georgia" w:cs="Georgia"/>
        </w:rPr>
        <w:id w:val="-1737166454"/>
        <w:docPartObj>
          <w:docPartGallery w:val="Table of Contents"/>
        </w:docPartObj>
      </w:sdtPr>
      <w:sdtEndPr/>
      <w:sdtContent>
        <w:p w14:paraId="37EDFF5D" w14:textId="2A451A7F" w:rsidR="003574D2" w:rsidRDefault="00AA0758">
          <w:pPr>
            <w:pStyle w:val="TJ1"/>
            <w:tabs>
              <w:tab w:val="right" w:leader="dot" w:pos="9077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5597">
            <w:r>
              <w:rPr>
                <w:noProof/>
              </w:rPr>
              <w:t>MI IS AZ A MUNKA ÉS MAGÁNÉLET EGYENSÚLY?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_Toc35597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406A5551" w14:textId="12331CC7" w:rsidR="003574D2" w:rsidRDefault="00AA0758">
          <w:pPr>
            <w:pStyle w:val="TJ2"/>
            <w:tabs>
              <w:tab w:val="right" w:leader="dot" w:pos="9077"/>
            </w:tabs>
            <w:rPr>
              <w:noProof/>
            </w:rPr>
          </w:pPr>
          <w:hyperlink w:anchor="_Toc35598">
            <w:r>
              <w:rPr>
                <w:noProof/>
              </w:rPr>
              <w:t>Új divat?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_Toc35598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4A57E203" w14:textId="6789FB36" w:rsidR="003574D2" w:rsidRDefault="00AA0758">
          <w:pPr>
            <w:pStyle w:val="TJ2"/>
            <w:tabs>
              <w:tab w:val="right" w:leader="dot" w:pos="9077"/>
            </w:tabs>
            <w:rPr>
              <w:noProof/>
            </w:rPr>
          </w:pPr>
          <w:hyperlink w:anchor="_Toc35599">
            <w:r>
              <w:rPr>
                <w:noProof/>
              </w:rPr>
              <w:t>Modern idők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_Toc35599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288661E9" w14:textId="08117362" w:rsidR="003574D2" w:rsidRDefault="00AA0758">
          <w:pPr>
            <w:pStyle w:val="TJ2"/>
            <w:tabs>
              <w:tab w:val="right" w:leader="dot" w:pos="9077"/>
            </w:tabs>
            <w:rPr>
              <w:noProof/>
            </w:rPr>
          </w:pPr>
          <w:hyperlink w:anchor="_Toc35600">
            <w:r>
              <w:rPr>
                <w:noProof/>
              </w:rPr>
              <w:t>Mit jelent?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_Toc35600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4666F2CC" w14:textId="01921827" w:rsidR="003574D2" w:rsidRDefault="00AA0758">
          <w:pPr>
            <w:pStyle w:val="TJ2"/>
            <w:tabs>
              <w:tab w:val="right" w:leader="dot" w:pos="9077"/>
            </w:tabs>
            <w:rPr>
              <w:noProof/>
            </w:rPr>
          </w:pPr>
          <w:hyperlink w:anchor="_Toc35601">
            <w:r>
              <w:rPr>
                <w:noProof/>
              </w:rPr>
              <w:t>A munkáltatók felelőssége és lehetőségei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_Toc35601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767D5D10" w14:textId="6061BC57" w:rsidR="003574D2" w:rsidRDefault="00AA0758">
          <w:pPr>
            <w:pStyle w:val="TJ2"/>
            <w:tabs>
              <w:tab w:val="right" w:leader="dot" w:pos="9077"/>
            </w:tabs>
            <w:rPr>
              <w:noProof/>
            </w:rPr>
          </w:pPr>
          <w:hyperlink w:anchor="_Toc35602">
            <w:r>
              <w:rPr>
                <w:noProof/>
              </w:rPr>
              <w:t>Az egyensúlyról, számokban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_Toc35602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426830AA" w14:textId="09BF5ADC" w:rsidR="003574D2" w:rsidRDefault="00AA0758">
          <w:pPr>
            <w:pStyle w:val="TJ2"/>
            <w:tabs>
              <w:tab w:val="right" w:leader="dot" w:pos="9077"/>
            </w:tabs>
            <w:rPr>
              <w:noProof/>
            </w:rPr>
          </w:pPr>
          <w:hyperlink w:anchor="_Toc35603">
            <w:r>
              <w:rPr>
                <w:noProof/>
              </w:rPr>
              <w:t>Helyünk a világban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_Toc35603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321FBB5B" w14:textId="69F400FC" w:rsidR="003574D2" w:rsidRDefault="00AA0758">
          <w:pPr>
            <w:pStyle w:val="TJ2"/>
            <w:tabs>
              <w:tab w:val="right" w:leader="dot" w:pos="9077"/>
            </w:tabs>
            <w:rPr>
              <w:noProof/>
            </w:rPr>
          </w:pPr>
          <w:hyperlink w:anchor="_Toc35604">
            <w:r>
              <w:rPr>
                <w:noProof/>
              </w:rPr>
              <w:t>Változó tendenciák a 2020-as években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_Toc35604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14:paraId="0663647C" w14:textId="45EAB200" w:rsidR="003574D2" w:rsidRDefault="00AA0758">
          <w:pPr>
            <w:pStyle w:val="TJ1"/>
            <w:tabs>
              <w:tab w:val="right" w:leader="dot" w:pos="9077"/>
            </w:tabs>
            <w:rPr>
              <w:noProof/>
            </w:rPr>
          </w:pPr>
          <w:hyperlink w:anchor="_Toc35605">
            <w:r>
              <w:rPr>
                <w:noProof/>
              </w:rPr>
              <w:t>MIT AD AZ ÁLLAM?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_Toc35605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hyperlink>
        </w:p>
        <w:p w14:paraId="2E129508" w14:textId="2910A4C6" w:rsidR="003574D2" w:rsidRDefault="00AA0758">
          <w:pPr>
            <w:pStyle w:val="TJ2"/>
            <w:tabs>
              <w:tab w:val="right" w:leader="dot" w:pos="9077"/>
            </w:tabs>
            <w:rPr>
              <w:noProof/>
            </w:rPr>
          </w:pPr>
          <w:hyperlink w:anchor="_Toc35606">
            <w:r>
              <w:rPr>
                <w:noProof/>
              </w:rPr>
              <w:t>A munka- és szabadidőt meghatározó állami intézkedések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_Toc35606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hyperlink>
        </w:p>
        <w:p w14:paraId="19EC1F49" w14:textId="55E495CF" w:rsidR="003574D2" w:rsidRDefault="00AA0758">
          <w:pPr>
            <w:pStyle w:val="TJ3"/>
            <w:tabs>
              <w:tab w:val="right" w:leader="dot" w:pos="9077"/>
            </w:tabs>
            <w:rPr>
              <w:noProof/>
            </w:rPr>
          </w:pPr>
          <w:hyperlink w:anchor="_Toc35607">
            <w:r>
              <w:rPr>
                <w:noProof/>
              </w:rPr>
              <w:t>Munkaszüneti napok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_Toc35607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hyperlink>
        </w:p>
        <w:p w14:paraId="12790306" w14:textId="14F6B941" w:rsidR="003574D2" w:rsidRDefault="00AA0758">
          <w:pPr>
            <w:pStyle w:val="TJ3"/>
            <w:tabs>
              <w:tab w:val="right" w:leader="dot" w:pos="9077"/>
            </w:tabs>
            <w:rPr>
              <w:noProof/>
            </w:rPr>
          </w:pPr>
          <w:hyperlink w:anchor="_Toc35608">
            <w:r>
              <w:rPr>
                <w:noProof/>
              </w:rPr>
              <w:t>Szabadnapok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_Toc35608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hyperlink>
        </w:p>
        <w:p w14:paraId="4775A5F1" w14:textId="6E3B4CED" w:rsidR="003574D2" w:rsidRDefault="00AA0758">
          <w:pPr>
            <w:pStyle w:val="TJ3"/>
            <w:tabs>
              <w:tab w:val="right" w:leader="dot" w:pos="9077"/>
            </w:tabs>
            <w:rPr>
              <w:noProof/>
            </w:rPr>
          </w:pPr>
          <w:hyperlink w:anchor="_Toc35609">
            <w:r>
              <w:rPr>
                <w:noProof/>
              </w:rPr>
              <w:t>Túlóra szabályozása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_Toc35609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14:paraId="076BE133" w14:textId="51625503" w:rsidR="003574D2" w:rsidRDefault="00AA0758">
          <w:pPr>
            <w:pStyle w:val="TJ2"/>
            <w:tabs>
              <w:tab w:val="right" w:leader="dot" w:pos="9077"/>
            </w:tabs>
            <w:rPr>
              <w:noProof/>
            </w:rPr>
          </w:pPr>
          <w:hyperlink w:anchor="_Toc35610">
            <w:r>
              <w:rPr>
                <w:noProof/>
              </w:rPr>
              <w:t>Jövedelem, juttatásokat meghatározó állami intézkedések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_Toc35610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14:paraId="50AB226A" w14:textId="7D880119" w:rsidR="003574D2" w:rsidRDefault="00AA0758">
          <w:pPr>
            <w:pStyle w:val="TJ3"/>
            <w:tabs>
              <w:tab w:val="right" w:leader="dot" w:pos="9077"/>
            </w:tabs>
            <w:rPr>
              <w:noProof/>
            </w:rPr>
          </w:pPr>
          <w:hyperlink w:anchor="_Toc35611">
            <w:r>
              <w:rPr>
                <w:noProof/>
              </w:rPr>
              <w:t>Minimálbér és garantált bérminimum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_Toc35611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14:paraId="505421E3" w14:textId="160E37AD" w:rsidR="003574D2" w:rsidRDefault="00AA0758">
          <w:pPr>
            <w:pStyle w:val="TJ3"/>
            <w:tabs>
              <w:tab w:val="right" w:leader="dot" w:pos="9077"/>
            </w:tabs>
            <w:rPr>
              <w:noProof/>
            </w:rPr>
          </w:pPr>
          <w:hyperlink w:anchor="_Toc35612">
            <w:r>
              <w:rPr>
                <w:noProof/>
              </w:rPr>
              <w:t>Foglalkoztatási támogatások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_Toc35612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14:paraId="46A4D216" w14:textId="6951F7C7" w:rsidR="003574D2" w:rsidRDefault="00AA0758">
          <w:pPr>
            <w:pStyle w:val="TJ3"/>
            <w:tabs>
              <w:tab w:val="right" w:leader="dot" w:pos="9077"/>
            </w:tabs>
            <w:rPr>
              <w:noProof/>
            </w:rPr>
          </w:pPr>
          <w:hyperlink w:anchor="_Toc35613">
            <w:r>
              <w:rPr>
                <w:noProof/>
              </w:rPr>
              <w:t>Adó- és járulékkedvezmények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_Toc35613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13</w:t>
            </w:r>
            <w:r>
              <w:rPr>
                <w:noProof/>
              </w:rPr>
              <w:fldChar w:fldCharType="end"/>
            </w:r>
          </w:hyperlink>
        </w:p>
        <w:p w14:paraId="3C1C80EA" w14:textId="26EB08D5" w:rsidR="003574D2" w:rsidRDefault="00AA0758">
          <w:pPr>
            <w:pStyle w:val="TJ3"/>
            <w:tabs>
              <w:tab w:val="right" w:leader="dot" w:pos="9077"/>
            </w:tabs>
            <w:rPr>
              <w:noProof/>
            </w:rPr>
          </w:pPr>
          <w:hyperlink w:anchor="_Toc35614">
            <w:r>
              <w:rPr>
                <w:noProof/>
              </w:rPr>
              <w:t>A béren felüli juttatási lehetőségek és adókedvezményei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_Toc35614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13</w:t>
            </w:r>
            <w:r>
              <w:rPr>
                <w:noProof/>
              </w:rPr>
              <w:fldChar w:fldCharType="end"/>
            </w:r>
          </w:hyperlink>
        </w:p>
        <w:p w14:paraId="2C8A7291" w14:textId="22109A6F" w:rsidR="003574D2" w:rsidRDefault="00AA0758">
          <w:pPr>
            <w:pStyle w:val="TJ2"/>
            <w:tabs>
              <w:tab w:val="right" w:leader="dot" w:pos="9077"/>
            </w:tabs>
            <w:rPr>
              <w:noProof/>
            </w:rPr>
          </w:pPr>
          <w:hyperlink w:anchor="_Toc35615">
            <w:r>
              <w:rPr>
                <w:noProof/>
              </w:rPr>
              <w:t>Egészségügy és szociális ellátás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_Toc35615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14</w:t>
            </w:r>
            <w:r>
              <w:rPr>
                <w:noProof/>
              </w:rPr>
              <w:fldChar w:fldCharType="end"/>
            </w:r>
          </w:hyperlink>
        </w:p>
        <w:p w14:paraId="5659EB2F" w14:textId="6DAE3B7A" w:rsidR="003574D2" w:rsidRDefault="00AA0758">
          <w:pPr>
            <w:pStyle w:val="TJ3"/>
            <w:tabs>
              <w:tab w:val="right" w:leader="dot" w:pos="9077"/>
            </w:tabs>
            <w:rPr>
              <w:noProof/>
            </w:rPr>
          </w:pPr>
          <w:hyperlink w:anchor="_Toc35616">
            <w:r>
              <w:rPr>
                <w:noProof/>
              </w:rPr>
              <w:t>Az egészségügyi ellátás állapota és hozzáférhetősége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_Toc35616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14</w:t>
            </w:r>
            <w:r>
              <w:rPr>
                <w:noProof/>
              </w:rPr>
              <w:fldChar w:fldCharType="end"/>
            </w:r>
          </w:hyperlink>
        </w:p>
        <w:p w14:paraId="52A040FD" w14:textId="7FBDF66C" w:rsidR="003574D2" w:rsidRDefault="00AA0758">
          <w:pPr>
            <w:pStyle w:val="TJ3"/>
            <w:tabs>
              <w:tab w:val="right" w:leader="dot" w:pos="9077"/>
            </w:tabs>
            <w:rPr>
              <w:noProof/>
            </w:rPr>
          </w:pPr>
          <w:hyperlink w:anchor="_Toc35617">
            <w:r>
              <w:rPr>
                <w:noProof/>
              </w:rPr>
              <w:t>Érvényes TAJ kártyával igénybe vehető szolgáltatások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_Toc35617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14</w:t>
            </w:r>
            <w:r>
              <w:rPr>
                <w:noProof/>
              </w:rPr>
              <w:fldChar w:fldCharType="end"/>
            </w:r>
          </w:hyperlink>
        </w:p>
        <w:p w14:paraId="68EA1EB9" w14:textId="62A0432D" w:rsidR="003574D2" w:rsidRDefault="00AA0758">
          <w:pPr>
            <w:pStyle w:val="TJ3"/>
            <w:tabs>
              <w:tab w:val="right" w:leader="dot" w:pos="9077"/>
            </w:tabs>
            <w:rPr>
              <w:noProof/>
            </w:rPr>
          </w:pPr>
          <w:hyperlink w:anchor="_Toc35618">
            <w:r>
              <w:rPr>
                <w:noProof/>
              </w:rPr>
              <w:t>Szociális ellátórendszer és szolgáltatások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_Toc35618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14</w:t>
            </w:r>
            <w:r>
              <w:rPr>
                <w:noProof/>
              </w:rPr>
              <w:fldChar w:fldCharType="end"/>
            </w:r>
          </w:hyperlink>
        </w:p>
        <w:p w14:paraId="78A97FDD" w14:textId="3858DEAC" w:rsidR="003574D2" w:rsidRDefault="00AA0758">
          <w:pPr>
            <w:pStyle w:val="TJ1"/>
            <w:tabs>
              <w:tab w:val="right" w:leader="dot" w:pos="9077"/>
            </w:tabs>
            <w:rPr>
              <w:noProof/>
            </w:rPr>
          </w:pPr>
          <w:hyperlink w:anchor="_Toc35619">
            <w:r>
              <w:rPr>
                <w:noProof/>
              </w:rPr>
              <w:t>MIT ADHAT A MUNKÁLTATÓ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_Toc35619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16</w:t>
            </w:r>
            <w:r>
              <w:rPr>
                <w:noProof/>
              </w:rPr>
              <w:fldChar w:fldCharType="end"/>
            </w:r>
          </w:hyperlink>
        </w:p>
        <w:p w14:paraId="199B2744" w14:textId="07A5FA82" w:rsidR="003574D2" w:rsidRDefault="00AA0758">
          <w:pPr>
            <w:pStyle w:val="TJ2"/>
            <w:tabs>
              <w:tab w:val="right" w:leader="dot" w:pos="9077"/>
            </w:tabs>
            <w:rPr>
              <w:noProof/>
            </w:rPr>
          </w:pPr>
          <w:hyperlink w:anchor="_Toc35620">
            <w:r>
              <w:rPr>
                <w:noProof/>
              </w:rPr>
              <w:t>Nemzetközi jó példák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_Toc35620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16</w:t>
            </w:r>
            <w:r>
              <w:rPr>
                <w:noProof/>
              </w:rPr>
              <w:fldChar w:fldCharType="end"/>
            </w:r>
          </w:hyperlink>
        </w:p>
        <w:p w14:paraId="703E176B" w14:textId="71A68385" w:rsidR="003574D2" w:rsidRDefault="00AA0758">
          <w:pPr>
            <w:pStyle w:val="TJ3"/>
            <w:tabs>
              <w:tab w:val="right" w:leader="dot" w:pos="9077"/>
            </w:tabs>
            <w:rPr>
              <w:noProof/>
            </w:rPr>
          </w:pPr>
          <w:hyperlink w:anchor="_Toc35621">
            <w:r>
              <w:rPr>
                <w:noProof/>
              </w:rPr>
              <w:t>Microsoft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_Toc35621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16</w:t>
            </w:r>
            <w:r>
              <w:rPr>
                <w:noProof/>
              </w:rPr>
              <w:fldChar w:fldCharType="end"/>
            </w:r>
          </w:hyperlink>
        </w:p>
        <w:p w14:paraId="19155B29" w14:textId="16DCF408" w:rsidR="003574D2" w:rsidRDefault="00AA0758">
          <w:pPr>
            <w:pStyle w:val="TJ3"/>
            <w:tabs>
              <w:tab w:val="right" w:leader="dot" w:pos="9077"/>
            </w:tabs>
            <w:rPr>
              <w:noProof/>
            </w:rPr>
          </w:pPr>
          <w:hyperlink w:anchor="_Toc35622">
            <w:r>
              <w:rPr>
                <w:noProof/>
              </w:rPr>
              <w:t>Allianz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_Toc35622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16</w:t>
            </w:r>
            <w:r>
              <w:rPr>
                <w:noProof/>
              </w:rPr>
              <w:fldChar w:fldCharType="end"/>
            </w:r>
          </w:hyperlink>
        </w:p>
        <w:p w14:paraId="6356EDF6" w14:textId="302F2DBA" w:rsidR="003574D2" w:rsidRDefault="00AA0758">
          <w:pPr>
            <w:pStyle w:val="TJ3"/>
            <w:tabs>
              <w:tab w:val="right" w:leader="dot" w:pos="9077"/>
            </w:tabs>
            <w:rPr>
              <w:noProof/>
            </w:rPr>
          </w:pPr>
          <w:hyperlink w:anchor="_Toc35623">
            <w:r>
              <w:rPr>
                <w:noProof/>
              </w:rPr>
              <w:t>GSK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_Toc35623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17</w:t>
            </w:r>
            <w:r>
              <w:rPr>
                <w:noProof/>
              </w:rPr>
              <w:fldChar w:fldCharType="end"/>
            </w:r>
          </w:hyperlink>
        </w:p>
        <w:p w14:paraId="18F3EDCE" w14:textId="156DBB31" w:rsidR="003574D2" w:rsidRDefault="00AA0758">
          <w:pPr>
            <w:pStyle w:val="TJ3"/>
            <w:tabs>
              <w:tab w:val="right" w:leader="dot" w:pos="9077"/>
            </w:tabs>
            <w:rPr>
              <w:noProof/>
            </w:rPr>
          </w:pPr>
          <w:hyperlink w:anchor="_Toc35624">
            <w:r>
              <w:rPr>
                <w:noProof/>
              </w:rPr>
              <w:t>Unit4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_Toc35624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17</w:t>
            </w:r>
            <w:r>
              <w:rPr>
                <w:noProof/>
              </w:rPr>
              <w:fldChar w:fldCharType="end"/>
            </w:r>
          </w:hyperlink>
        </w:p>
        <w:p w14:paraId="60F6BFD7" w14:textId="78493AB5" w:rsidR="003574D2" w:rsidRDefault="00AA0758">
          <w:pPr>
            <w:pStyle w:val="TJ3"/>
            <w:tabs>
              <w:tab w:val="right" w:leader="dot" w:pos="9077"/>
            </w:tabs>
            <w:rPr>
              <w:noProof/>
            </w:rPr>
          </w:pPr>
          <w:hyperlink w:anchor="_Toc35625">
            <w:r>
              <w:rPr>
                <w:noProof/>
              </w:rPr>
              <w:t>Experian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_Toc35625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17</w:t>
            </w:r>
            <w:r>
              <w:rPr>
                <w:noProof/>
              </w:rPr>
              <w:fldChar w:fldCharType="end"/>
            </w:r>
          </w:hyperlink>
        </w:p>
        <w:p w14:paraId="752A8A4C" w14:textId="3414A470" w:rsidR="003574D2" w:rsidRDefault="00AA0758">
          <w:pPr>
            <w:pStyle w:val="TJ3"/>
            <w:tabs>
              <w:tab w:val="right" w:leader="dot" w:pos="9077"/>
            </w:tabs>
            <w:rPr>
              <w:noProof/>
            </w:rPr>
          </w:pPr>
          <w:hyperlink w:anchor="_Toc35626">
            <w:r>
              <w:rPr>
                <w:noProof/>
              </w:rPr>
              <w:t>T-Systems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_Toc35626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17</w:t>
            </w:r>
            <w:r>
              <w:rPr>
                <w:noProof/>
              </w:rPr>
              <w:fldChar w:fldCharType="end"/>
            </w:r>
          </w:hyperlink>
        </w:p>
        <w:p w14:paraId="7C0874BA" w14:textId="26CE2CBD" w:rsidR="003574D2" w:rsidRDefault="00AA0758">
          <w:pPr>
            <w:pStyle w:val="TJ2"/>
            <w:tabs>
              <w:tab w:val="right" w:leader="dot" w:pos="9077"/>
            </w:tabs>
            <w:rPr>
              <w:noProof/>
            </w:rPr>
          </w:pPr>
          <w:hyperlink w:anchor="_Toc35627">
            <w:r>
              <w:rPr>
                <w:noProof/>
              </w:rPr>
              <w:t>A fővárosi cégek jó gyakorlatai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_Toc35627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18</w:t>
            </w:r>
            <w:r>
              <w:rPr>
                <w:noProof/>
              </w:rPr>
              <w:fldChar w:fldCharType="end"/>
            </w:r>
          </w:hyperlink>
        </w:p>
        <w:p w14:paraId="6B72EBCB" w14:textId="711D5153" w:rsidR="003574D2" w:rsidRDefault="00AA0758">
          <w:pPr>
            <w:pStyle w:val="TJ2"/>
            <w:tabs>
              <w:tab w:val="right" w:leader="dot" w:pos="9077"/>
            </w:tabs>
            <w:rPr>
              <w:noProof/>
            </w:rPr>
          </w:pPr>
          <w:hyperlink w:anchor="_Toc35628">
            <w:r>
              <w:rPr>
                <w:noProof/>
              </w:rPr>
              <w:t>Mit tanulhatnak ebből a munkáltatók?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_Toc35628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18</w:t>
            </w:r>
            <w:r>
              <w:rPr>
                <w:noProof/>
              </w:rPr>
              <w:fldChar w:fldCharType="end"/>
            </w:r>
          </w:hyperlink>
        </w:p>
        <w:p w14:paraId="32CCBE10" w14:textId="54F41CE7" w:rsidR="003574D2" w:rsidRDefault="00AA0758">
          <w:pPr>
            <w:pStyle w:val="TJ1"/>
            <w:tabs>
              <w:tab w:val="right" w:leader="dot" w:pos="9077"/>
            </w:tabs>
            <w:rPr>
              <w:noProof/>
            </w:rPr>
          </w:pPr>
          <w:hyperlink w:anchor="_Toc35629">
            <w:r>
              <w:rPr>
                <w:noProof/>
              </w:rPr>
              <w:t>ÚT A GYAKORLATI MEGVALÓSÍTÁSHOZ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_Toc35629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20</w:t>
            </w:r>
            <w:r>
              <w:rPr>
                <w:noProof/>
              </w:rPr>
              <w:fldChar w:fldCharType="end"/>
            </w:r>
          </w:hyperlink>
        </w:p>
        <w:p w14:paraId="73A43444" w14:textId="75CF8F79" w:rsidR="003574D2" w:rsidRDefault="00AA0758">
          <w:pPr>
            <w:pStyle w:val="TJ2"/>
            <w:tabs>
              <w:tab w:val="right" w:leader="dot" w:pos="9077"/>
            </w:tabs>
            <w:rPr>
              <w:noProof/>
            </w:rPr>
          </w:pPr>
          <w:hyperlink w:anchor="_Toc35630">
            <w:r>
              <w:rPr>
                <w:noProof/>
              </w:rPr>
              <w:t>Időt és teret adni a dolgozónak önmagára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_Toc35630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20</w:t>
            </w:r>
            <w:r>
              <w:rPr>
                <w:noProof/>
              </w:rPr>
              <w:fldChar w:fldCharType="end"/>
            </w:r>
          </w:hyperlink>
        </w:p>
        <w:p w14:paraId="7D760757" w14:textId="6D974EA3" w:rsidR="003574D2" w:rsidRDefault="00AA0758">
          <w:pPr>
            <w:pStyle w:val="TJ3"/>
            <w:tabs>
              <w:tab w:val="right" w:leader="dot" w:pos="9077"/>
            </w:tabs>
            <w:rPr>
              <w:noProof/>
            </w:rPr>
          </w:pPr>
          <w:hyperlink w:anchor="_Toc35631">
            <w:r>
              <w:rPr>
                <w:noProof/>
              </w:rPr>
              <w:t>Munkaidőkeret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_Toc35631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20</w:t>
            </w:r>
            <w:r>
              <w:rPr>
                <w:noProof/>
              </w:rPr>
              <w:fldChar w:fldCharType="end"/>
            </w:r>
          </w:hyperlink>
        </w:p>
        <w:p w14:paraId="34049183" w14:textId="12B89387" w:rsidR="003574D2" w:rsidRDefault="00AA0758">
          <w:pPr>
            <w:pStyle w:val="TJ3"/>
            <w:tabs>
              <w:tab w:val="right" w:leader="dot" w:pos="9077"/>
            </w:tabs>
            <w:rPr>
              <w:noProof/>
            </w:rPr>
          </w:pPr>
          <w:hyperlink w:anchor="_Toc35632">
            <w:r>
              <w:rPr>
                <w:noProof/>
              </w:rPr>
              <w:t>Távmunka és Home Office: hasonlóságok és különbségek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_Toc35632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20</w:t>
            </w:r>
            <w:r>
              <w:rPr>
                <w:noProof/>
              </w:rPr>
              <w:fldChar w:fldCharType="end"/>
            </w:r>
          </w:hyperlink>
        </w:p>
        <w:p w14:paraId="2E4F20A3" w14:textId="17B36B88" w:rsidR="003574D2" w:rsidRDefault="00AA0758">
          <w:pPr>
            <w:pStyle w:val="TJ3"/>
            <w:tabs>
              <w:tab w:val="right" w:leader="dot" w:pos="9077"/>
            </w:tabs>
            <w:rPr>
              <w:noProof/>
            </w:rPr>
          </w:pPr>
          <w:hyperlink w:anchor="_Toc35633">
            <w:r>
              <w:rPr>
                <w:noProof/>
              </w:rPr>
              <w:t>Rugalmas és kötetlen munkaidő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_Toc35633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21</w:t>
            </w:r>
            <w:r>
              <w:rPr>
                <w:noProof/>
              </w:rPr>
              <w:fldChar w:fldCharType="end"/>
            </w:r>
          </w:hyperlink>
        </w:p>
        <w:p w14:paraId="2CA3E316" w14:textId="7C3706F9" w:rsidR="003574D2" w:rsidRDefault="00AA0758">
          <w:pPr>
            <w:pStyle w:val="TJ3"/>
            <w:tabs>
              <w:tab w:val="right" w:leader="dot" w:pos="9077"/>
            </w:tabs>
            <w:rPr>
              <w:noProof/>
            </w:rPr>
          </w:pPr>
          <w:hyperlink w:anchor="_Toc35634">
            <w:r>
              <w:rPr>
                <w:noProof/>
              </w:rPr>
              <w:t>A hibrid munkavégzés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_Toc35634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22</w:t>
            </w:r>
            <w:r>
              <w:rPr>
                <w:noProof/>
              </w:rPr>
              <w:fldChar w:fldCharType="end"/>
            </w:r>
          </w:hyperlink>
        </w:p>
        <w:p w14:paraId="264B7C9D" w14:textId="4463C59D" w:rsidR="003574D2" w:rsidRDefault="00AA0758">
          <w:pPr>
            <w:pStyle w:val="TJ3"/>
            <w:tabs>
              <w:tab w:val="right" w:leader="dot" w:pos="9077"/>
            </w:tabs>
            <w:rPr>
              <w:noProof/>
            </w:rPr>
          </w:pPr>
          <w:hyperlink w:anchor="_Toc35635">
            <w:r>
              <w:rPr>
                <w:noProof/>
              </w:rPr>
              <w:t>Munkakörmegosztás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_Toc35635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23</w:t>
            </w:r>
            <w:r>
              <w:rPr>
                <w:noProof/>
              </w:rPr>
              <w:fldChar w:fldCharType="end"/>
            </w:r>
          </w:hyperlink>
        </w:p>
        <w:p w14:paraId="38F860A9" w14:textId="2F8324BD" w:rsidR="003574D2" w:rsidRDefault="00AA0758">
          <w:pPr>
            <w:pStyle w:val="TJ3"/>
            <w:tabs>
              <w:tab w:val="right" w:leader="dot" w:pos="9077"/>
            </w:tabs>
            <w:rPr>
              <w:noProof/>
            </w:rPr>
          </w:pPr>
          <w:hyperlink w:anchor="_Toc35636">
            <w:r>
              <w:rPr>
                <w:noProof/>
              </w:rPr>
              <w:t>A munkakörmegosztás bevezetése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_Toc35636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23</w:t>
            </w:r>
            <w:r>
              <w:rPr>
                <w:noProof/>
              </w:rPr>
              <w:fldChar w:fldCharType="end"/>
            </w:r>
          </w:hyperlink>
        </w:p>
        <w:p w14:paraId="2BA11421" w14:textId="2D0BBE02" w:rsidR="003574D2" w:rsidRDefault="00AA0758">
          <w:pPr>
            <w:pStyle w:val="TJ3"/>
            <w:tabs>
              <w:tab w:val="right" w:leader="dot" w:pos="9077"/>
            </w:tabs>
            <w:rPr>
              <w:noProof/>
            </w:rPr>
          </w:pPr>
          <w:hyperlink w:anchor="_Toc35637">
            <w:r>
              <w:rPr>
                <w:noProof/>
              </w:rPr>
              <w:t>Mire kell odafigyelni az atipikus foglalkoztatásnál? (Vezetői és egyéni szempontok)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_Toc35637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24</w:t>
            </w:r>
            <w:r>
              <w:rPr>
                <w:noProof/>
              </w:rPr>
              <w:fldChar w:fldCharType="end"/>
            </w:r>
          </w:hyperlink>
        </w:p>
        <w:p w14:paraId="5D8DFC92" w14:textId="43B62748" w:rsidR="003574D2" w:rsidRDefault="00AA0758">
          <w:pPr>
            <w:pStyle w:val="TJ2"/>
            <w:tabs>
              <w:tab w:val="right" w:leader="dot" w:pos="9077"/>
            </w:tabs>
            <w:rPr>
              <w:noProof/>
            </w:rPr>
          </w:pPr>
          <w:hyperlink w:anchor="_Toc35638">
            <w:r>
              <w:rPr>
                <w:noProof/>
              </w:rPr>
              <w:t>Támogatni a mentális egészség megőrzését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_Toc35638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25</w:t>
            </w:r>
            <w:r>
              <w:rPr>
                <w:noProof/>
              </w:rPr>
              <w:fldChar w:fldCharType="end"/>
            </w:r>
          </w:hyperlink>
        </w:p>
        <w:p w14:paraId="2B1F4AED" w14:textId="4CBF6D87" w:rsidR="003574D2" w:rsidRDefault="00AA0758">
          <w:pPr>
            <w:pStyle w:val="TJ2"/>
            <w:tabs>
              <w:tab w:val="right" w:leader="dot" w:pos="9077"/>
            </w:tabs>
            <w:rPr>
              <w:noProof/>
            </w:rPr>
          </w:pPr>
          <w:hyperlink w:anchor="_Toc35639">
            <w:r>
              <w:rPr>
                <w:noProof/>
              </w:rPr>
              <w:t>Támogatni a szociális egészség megőrzését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_Toc35639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27</w:t>
            </w:r>
            <w:r>
              <w:rPr>
                <w:noProof/>
              </w:rPr>
              <w:fldChar w:fldCharType="end"/>
            </w:r>
          </w:hyperlink>
        </w:p>
        <w:p w14:paraId="6A8A306D" w14:textId="42C40F10" w:rsidR="003574D2" w:rsidRDefault="00AA0758">
          <w:pPr>
            <w:pStyle w:val="TJ1"/>
            <w:tabs>
              <w:tab w:val="right" w:leader="dot" w:pos="9077"/>
            </w:tabs>
            <w:rPr>
              <w:noProof/>
            </w:rPr>
          </w:pPr>
          <w:hyperlink w:anchor="_Toc35640">
            <w:r>
              <w:rPr>
                <w:noProof/>
              </w:rPr>
              <w:t>IRODALOM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_Toc35640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A87D5F">
              <w:rPr>
                <w:noProof/>
              </w:rPr>
              <w:t>29</w:t>
            </w:r>
            <w:r>
              <w:rPr>
                <w:noProof/>
              </w:rPr>
              <w:fldChar w:fldCharType="end"/>
            </w:r>
          </w:hyperlink>
        </w:p>
        <w:p w14:paraId="206C7849" w14:textId="77777777" w:rsidR="00A87D5F" w:rsidRDefault="00AA0758" w:rsidP="00A87D5F">
          <w:pPr>
            <w:ind w:left="0" w:firstLine="0"/>
          </w:pPr>
          <w:r>
            <w:fldChar w:fldCharType="end"/>
          </w:r>
        </w:p>
      </w:sdtContent>
    </w:sdt>
    <w:p w14:paraId="34EF2151" w14:textId="7672DD9C" w:rsidR="00A87D5F" w:rsidRDefault="00AA0758" w:rsidP="00A87D5F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</w:p>
    <w:p w14:paraId="2FAC938C" w14:textId="77777777" w:rsidR="00A87D5F" w:rsidRDefault="00A87D5F">
      <w:pPr>
        <w:spacing w:after="160" w:line="278" w:lineRule="auto"/>
        <w:ind w:left="0" w:right="0" w:firstLine="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14:paraId="73C8B91F" w14:textId="77777777" w:rsidR="003574D2" w:rsidRDefault="003574D2" w:rsidP="00A87D5F"/>
    <w:p w14:paraId="54DDEC41" w14:textId="77777777" w:rsidR="003574D2" w:rsidRDefault="00AA0758">
      <w:pPr>
        <w:pStyle w:val="Cmsor1"/>
        <w:spacing w:after="155"/>
        <w:ind w:left="451" w:hanging="451"/>
        <w:jc w:val="center"/>
      </w:pPr>
      <w:bookmarkStart w:id="0" w:name="_Toc35597"/>
      <w:r>
        <w:t>IS AZ A MUNKA ÉS MAGÁNÉLET EGYENSÚLY?</w:t>
      </w:r>
      <w:r>
        <w:t xml:space="preserve"> </w:t>
      </w:r>
      <w:bookmarkEnd w:id="0"/>
    </w:p>
    <w:p w14:paraId="60BD4C8F" w14:textId="77777777" w:rsidR="003574D2" w:rsidRDefault="00AA0758">
      <w:pPr>
        <w:pStyle w:val="Cmsor2"/>
        <w:ind w:left="-5"/>
      </w:pPr>
      <w:bookmarkStart w:id="1" w:name="_Toc35598"/>
      <w:r>
        <w:t>Új divat?</w:t>
      </w:r>
      <w:r>
        <w:t xml:space="preserve"> </w:t>
      </w:r>
      <w:bookmarkEnd w:id="1"/>
    </w:p>
    <w:p w14:paraId="592EE6B6" w14:textId="77777777" w:rsidR="003574D2" w:rsidRDefault="00AA0758">
      <w:pPr>
        <w:spacing w:after="7"/>
        <w:ind w:left="-5" w:right="0"/>
      </w:pPr>
      <w:r>
        <w:t xml:space="preserve">A világ legrégebbi vállalatának, a Kongó Gumi építőipari vállalatnak az alapítója, </w:t>
      </w:r>
    </w:p>
    <w:p w14:paraId="7755A902" w14:textId="77777777" w:rsidR="003574D2" w:rsidRDefault="00AA0758">
      <w:pPr>
        <w:spacing w:after="220"/>
        <w:ind w:left="-5" w:right="0"/>
      </w:pPr>
      <w:r>
        <w:t>Shigetsu Kongó és családja, Sótoku Taishi herceg meghívására költözött a mai Dél</w:t>
      </w:r>
      <w:r>
        <w:t>Korea területéről Japánba, hogy buddhista templomokat építsenek. Vállalatát 578-ben alapította, azt 2006-ig a család negyven generációja tartotta fenn. A céget 2006-ban a viszonylag fiatal, 102 éves Takamastsu konglomerátum vásárolta fel. A 18. században a család tagjai lejegyezték a fő irányelveket, hogy könnyen továbbadhassák. Ezek a következők voltak:</w:t>
      </w:r>
      <w:r>
        <w:t xml:space="preserve"> </w:t>
      </w:r>
    </w:p>
    <w:p w14:paraId="2C41AA36" w14:textId="77777777" w:rsidR="003574D2" w:rsidRDefault="00AA0758">
      <w:pPr>
        <w:numPr>
          <w:ilvl w:val="0"/>
          <w:numId w:val="1"/>
        </w:numPr>
        <w:spacing w:after="17"/>
        <w:ind w:right="0" w:hanging="360"/>
      </w:pPr>
      <w:r>
        <w:t>Mindig józan ésszel hozunk döntéseket</w:t>
      </w:r>
      <w:r>
        <w:t xml:space="preserve"> </w:t>
      </w:r>
    </w:p>
    <w:p w14:paraId="6E2BB673" w14:textId="77777777" w:rsidR="003574D2" w:rsidRDefault="00AA0758">
      <w:pPr>
        <w:numPr>
          <w:ilvl w:val="0"/>
          <w:numId w:val="1"/>
        </w:numPr>
        <w:spacing w:after="14"/>
        <w:ind w:right="0" w:hanging="360"/>
      </w:pPr>
      <w:r>
        <w:t>Fókuszálni kell a fő bizniszre</w:t>
      </w:r>
      <w:r>
        <w:t xml:space="preserve"> </w:t>
      </w:r>
    </w:p>
    <w:p w14:paraId="1E035C01" w14:textId="77777777" w:rsidR="003574D2" w:rsidRDefault="00AA0758">
      <w:pPr>
        <w:numPr>
          <w:ilvl w:val="0"/>
          <w:numId w:val="1"/>
        </w:numPr>
        <w:spacing w:after="16"/>
        <w:ind w:right="0" w:hanging="360"/>
      </w:pPr>
      <w:r>
        <w:t>Legyen kiszámítható a munkakörnyezet</w:t>
      </w:r>
      <w:r>
        <w:t xml:space="preserve"> </w:t>
      </w:r>
    </w:p>
    <w:p w14:paraId="01ED6085" w14:textId="77777777" w:rsidR="003574D2" w:rsidRDefault="00AA0758">
      <w:pPr>
        <w:numPr>
          <w:ilvl w:val="0"/>
          <w:numId w:val="1"/>
        </w:numPr>
        <w:spacing w:after="36" w:line="248" w:lineRule="auto"/>
        <w:ind w:right="0" w:hanging="360"/>
      </w:pPr>
      <w:r>
        <w:rPr>
          <w:i/>
        </w:rPr>
        <w:t xml:space="preserve">Fontos a munka és a magánélet egyensúlya </w:t>
      </w:r>
    </w:p>
    <w:p w14:paraId="0A9C6CBE" w14:textId="77777777" w:rsidR="003574D2" w:rsidRDefault="00AA0758">
      <w:pPr>
        <w:numPr>
          <w:ilvl w:val="0"/>
          <w:numId w:val="1"/>
        </w:numPr>
        <w:spacing w:after="16"/>
        <w:ind w:right="0" w:hanging="360"/>
      </w:pPr>
      <w:r>
        <w:t>Érdemes meghallgatni és tisztelettel kezelni az ügyfeleket</w:t>
      </w:r>
      <w:r>
        <w:t xml:space="preserve"> </w:t>
      </w:r>
    </w:p>
    <w:p w14:paraId="2E045EC3" w14:textId="77777777" w:rsidR="003574D2" w:rsidRDefault="00AA0758">
      <w:pPr>
        <w:numPr>
          <w:ilvl w:val="0"/>
          <w:numId w:val="1"/>
        </w:numPr>
        <w:spacing w:after="14"/>
        <w:ind w:right="0" w:hanging="360"/>
      </w:pPr>
      <w:r>
        <w:t>A legolcsóbb és legőszintébb ajánlatot kell megtenni</w:t>
      </w:r>
      <w:r>
        <w:t xml:space="preserve"> </w:t>
      </w:r>
    </w:p>
    <w:p w14:paraId="78B42FFA" w14:textId="77777777" w:rsidR="003574D2" w:rsidRDefault="00AA0758">
      <w:pPr>
        <w:numPr>
          <w:ilvl w:val="0"/>
          <w:numId w:val="1"/>
        </w:numPr>
        <w:spacing w:after="120"/>
        <w:ind w:right="0" w:hanging="360"/>
      </w:pPr>
      <w:r>
        <w:t>Mértékkel igyunk (Stabile et al., 2023)</w:t>
      </w:r>
      <w:r>
        <w:t xml:space="preserve"> </w:t>
      </w:r>
    </w:p>
    <w:p w14:paraId="33A16FE9" w14:textId="77777777" w:rsidR="003574D2" w:rsidRDefault="00AA0758">
      <w:pPr>
        <w:ind w:left="-5" w:right="0"/>
      </w:pPr>
      <w:r>
        <w:t>A munka és magánélet egyensúlya tehát nem a modern kor agyszüleménye, hanem azon 7 fő elv egyike, amely alapján egy vállalat több mint 1400 évig sikeresen fenntartható volt.</w:t>
      </w:r>
      <w:r>
        <w:t xml:space="preserve"> </w:t>
      </w:r>
    </w:p>
    <w:p w14:paraId="534F1708" w14:textId="77777777" w:rsidR="003574D2" w:rsidRDefault="00AA0758">
      <w:pPr>
        <w:ind w:left="-5" w:right="0"/>
      </w:pPr>
      <w:r>
        <w:t>A mezőgazdasági társadalmakban, a céhes iparban azonban sokáig nem volt széleskörű igény, sem lehetőség a munka és a magánélet elkülönítésére, hiszen a termelés jelentős része otthon vagy a ház körül folyt. Az egyensúly szükségességére ezért a nyugati típusú kultúrákban az ipari forradalom világított rá (Polányi, 2004; Kovács-Berényi, 2020). Ekkor különült el fizikálisan az otthon, mint a magánélet tere és a munka helye – hivatal, gyár, műhely. Ezzel egyidőben a tér mellett az idő is megoszlott. Szükségessé</w:t>
      </w:r>
      <w:r>
        <w:t xml:space="preserve"> vált a munkaidő keretezése, szabályozása. </w:t>
      </w:r>
      <w:r>
        <w:t xml:space="preserve"> </w:t>
      </w:r>
    </w:p>
    <w:p w14:paraId="1C33827F" w14:textId="77777777" w:rsidR="003574D2" w:rsidRDefault="00AA0758">
      <w:pPr>
        <w:spacing w:after="243"/>
        <w:ind w:left="-5" w:right="0"/>
      </w:pPr>
      <w:r>
        <w:t xml:space="preserve">A 19. századra vált fontossá a munka és a magánélet egyensúlya, elsősorban a munkavállalók mentális és fizikai egészségnek megőrzése céljával (Juhász, 2012; Juhász, 2021). Ez eleinte a munkaidő behatárolását, majd korlátozását jelentette – a napi 12-16 óráról 8 órára. A Robert Owen walesi reformer által 1817-ben, a New Lanark-i gyárközösségben meghirdetett program, a „8 óra munka, 8 óra pihenés, 8 óra szórakozás” az első modern, a munka és a </w:t>
      </w:r>
      <w:r>
        <w:t>magánélet összeegyeztetését támogató jó gyakorlat (Owen, 1817).</w:t>
      </w:r>
      <w:r>
        <w:t xml:space="preserve"> </w:t>
      </w:r>
    </w:p>
    <w:p w14:paraId="7F220DE3" w14:textId="77777777" w:rsidR="003574D2" w:rsidRDefault="00AA0758">
      <w:pPr>
        <w:pStyle w:val="Cmsor2"/>
        <w:ind w:left="-5"/>
      </w:pPr>
      <w:bookmarkStart w:id="2" w:name="_Toc35599"/>
      <w:r>
        <w:t>Modern idők</w:t>
      </w:r>
      <w:r>
        <w:t xml:space="preserve"> </w:t>
      </w:r>
      <w:bookmarkEnd w:id="2"/>
    </w:p>
    <w:p w14:paraId="587BAFCE" w14:textId="77777777" w:rsidR="003574D2" w:rsidRDefault="00AA0758">
      <w:pPr>
        <w:ind w:left="-5" w:right="0"/>
      </w:pPr>
      <w:r>
        <w:t xml:space="preserve">A 20. században a szakszervezetek és a munkavállalók tovább folytatták a küzdelmet a munkaidő csökkentéséért, a pihenésért és a magánélet védelméért. A humánerőforrás tudomány fejlődésével pedig a szakemberek is egyre többet gondolkodtak a munka és magánélet egyensúlyának tartalmán. A huszadik század végére a munka és magánélet </w:t>
      </w:r>
      <w:r>
        <w:lastRenderedPageBreak/>
        <w:t>témája a munkáltató által nyújtható extra juttatásból lassan munkavállalói elvárássá vált (Guest, 2002).</w:t>
      </w:r>
      <w:r>
        <w:t xml:space="preserve"> </w:t>
      </w:r>
    </w:p>
    <w:p w14:paraId="1C1452DF" w14:textId="77777777" w:rsidR="003574D2" w:rsidRDefault="00AA0758">
      <w:pPr>
        <w:spacing w:after="242"/>
        <w:ind w:left="-5" w:right="0"/>
      </w:pPr>
      <w:r>
        <w:t xml:space="preserve">Különösen, hogy a digitális korszakba lépve az internet, a mobiltelefon, az otthoni vagy hibrid munkavégzés és az automatizáció széleskörű elterjedése ismét összemosódásra késztette a munka és a magánélet határait </w:t>
      </w:r>
      <w:r>
        <w:t xml:space="preserve">(Mellner, 2016). A munkaidő rugalmassá válása gyakran nem a nagyobb szabadságot, hanem a munkától való elszakadás teljes képtelenségét hozta meg. Az állandó készenléti állapot, a természetes pihenés hiánya folyamatos stresszhez, ezzel kiégéshez, a mentális egészség és az életminőség romlásához vezethet (Német, 2023). A munkavállalók ezért egyre inkább értékelik a rugalmasságot és a személyes jóllét hangsúlyozását </w:t>
      </w:r>
      <w:r>
        <w:t>(Randstad, 2025). Mivel a romló egészség a munkahelyi teljesítmény fenntarthatóságát is veszélyezteti, a munka és magánélet egyensúlyának szükségességét lassan a munkáltatók is belátják (Erdélyi, 2025).</w:t>
      </w:r>
      <w:r>
        <w:t xml:space="preserve"> </w:t>
      </w:r>
    </w:p>
    <w:p w14:paraId="52BBF11A" w14:textId="77777777" w:rsidR="003574D2" w:rsidRDefault="00AA0758">
      <w:pPr>
        <w:pStyle w:val="Cmsor2"/>
        <w:ind w:left="-5"/>
      </w:pPr>
      <w:bookmarkStart w:id="3" w:name="_Toc35600"/>
      <w:r>
        <w:t>Mit jelent?</w:t>
      </w:r>
      <w:r>
        <w:t xml:space="preserve"> </w:t>
      </w:r>
      <w:bookmarkEnd w:id="3"/>
    </w:p>
    <w:p w14:paraId="0F1D6636" w14:textId="77777777" w:rsidR="003574D2" w:rsidRDefault="00AA0758">
      <w:pPr>
        <w:ind w:left="-5" w:right="0"/>
      </w:pPr>
      <w:r>
        <w:t xml:space="preserve">Az egyensúly kulcsa az idő és energia egyenletes elosztása az életterületek között. Ebből a munka csupán egy terület. A magánélet viszont, a családi és szociális kapcsolatok, a hobbi és önfejlesztés és </w:t>
      </w:r>
      <w:r>
        <w:t xml:space="preserve">az öngondoskodás területein keresztül számos olyan életszegmenst magában foglal, ami az egészség és a jó közérzet fenntartása szempontjából meghatározó.  Szükséges emellett az emberi kapcsolatok építése és ápolása, önmagunk ápolása, az egészséges test és lélek megőrzése. A munka és magánélet egyensúlya jelenti a rugalmas munkafeltételeket (munkaidőt, munkavégzési helyet) és a </w:t>
      </w:r>
      <w:r>
        <w:t>szabadságokat, amelyek segítik a magánéleti kötelezettségek teljesítését. Az egyensúly célja, hogy ki tudjuk elégíteni a különböző életterületeken jelentkező, gyakran eltérő igényeket.</w:t>
      </w:r>
      <w:r>
        <w:t xml:space="preserve"> </w:t>
      </w:r>
    </w:p>
    <w:p w14:paraId="75E6F171" w14:textId="77777777" w:rsidR="003574D2" w:rsidRDefault="00AA0758">
      <w:pPr>
        <w:spacing w:after="245"/>
        <w:ind w:left="-5" w:right="0"/>
      </w:pPr>
      <w:r>
        <w:t>Az állam ezt leginkább a fizetett szabadságok, munka- és pihenőidők szabályozásán keresztül látja és tudja biztosítani. Állami intézkedés következménye a törvényes fizetett szabadság és betegszabadság mértéke, a munkaszüneti napok száma, a szülési szabadság hossza és a kapcsolódó juttatások struktúrája, mértéke, az, hogy van</w:t>
      </w:r>
      <w:r>
        <w:t xml:space="preserve">-e, és mekkora a minimálbér. Mindezek megalapozzák a munka és a magánélet egyensúlyát. </w:t>
      </w:r>
      <w:r>
        <w:t xml:space="preserve"> </w:t>
      </w:r>
    </w:p>
    <w:p w14:paraId="37C9755C" w14:textId="77777777" w:rsidR="003574D2" w:rsidRDefault="00AA0758">
      <w:pPr>
        <w:pStyle w:val="Cmsor2"/>
        <w:ind w:left="-5"/>
      </w:pPr>
      <w:bookmarkStart w:id="4" w:name="_Toc35601"/>
      <w:r>
        <w:t>A munkáltatók felelőssége és lehetőségei</w:t>
      </w:r>
      <w:r>
        <w:t xml:space="preserve"> </w:t>
      </w:r>
      <w:bookmarkEnd w:id="4"/>
    </w:p>
    <w:p w14:paraId="46A82742" w14:textId="77777777" w:rsidR="003574D2" w:rsidRDefault="00AA0758">
      <w:pPr>
        <w:ind w:left="-5" w:right="0"/>
      </w:pPr>
      <w:r>
        <w:t xml:space="preserve">Az egyensúly megőrzésében a munkáltatók felelőssége jelentős. A munka és magánélet egyensúlyának (röviden: MME) támogatása ugyanakkor nem csak felelősség, hanem munkáltatói érdek is. Az egyensúlyhiány okozta, krónikus stressz a dolgozó kiégéséhez, depresszióhoz és szorongáshoz vezethet, a magánélet elhanyagolása megterhelheti a családi és baráti kapcsolatokat. Az </w:t>
      </w:r>
      <w:r>
        <w:t>egyensúlyhiány jeleinek felismerése a munkáltató szempontjából kulcsfontosságú. A krónikus stressz, a kiégés hosszabb távon egészségügyi problémákhoz, azaz több hiányzáshoz vezethet. A stressz feszült munkahelyi emberi kapcsolatokat okoz, ezzel rossz légkört, ami akár a fluktuációs adatokban is megmutatkozhat. A gyakori táppénz, magas fluktuáció, rossz munkahelyi hangulat pedig összességében csökkenő termelékenységhez, romló szolgáltatási színvonalhoz vezethet.</w:t>
      </w:r>
      <w:r>
        <w:t xml:space="preserve">  </w:t>
      </w:r>
    </w:p>
    <w:p w14:paraId="3BF6EAD7" w14:textId="77777777" w:rsidR="003574D2" w:rsidRDefault="00AA0758">
      <w:pPr>
        <w:spacing w:after="244"/>
        <w:ind w:left="-5" w:right="0"/>
      </w:pPr>
      <w:r>
        <w:lastRenderedPageBreak/>
        <w:t xml:space="preserve">Az MME alapja, a </w:t>
      </w:r>
      <w:r>
        <w:t>hatékony időgazdálkodás kialakításában a munkáltatónak jelentős szerepe lehet. E mellett a dolgozó egészségéhez, életszakaszához kapcsolódó vagy a családhoz, szülői szerephez kötődő dolgozói szükségletek támogatásán keresztül képzelhető el az egyensúly támogatása. A munkáltató a fentiekre idő, pénz vagy természetbeni juttatások biztosításával egyaránt hatást tud gyakorolni. Az eszközök egyike-</w:t>
      </w:r>
      <w:r>
        <w:t>másika költségigényes, de a legtöbb, emberi megoldásnak csupán a képzelet, és nem a humánerőforrás menedzsment osztály büdzséje szab határt.</w:t>
      </w:r>
      <w:r>
        <w:t xml:space="preserve"> </w:t>
      </w:r>
    </w:p>
    <w:p w14:paraId="0A9C081C" w14:textId="77777777" w:rsidR="003574D2" w:rsidRDefault="00AA0758">
      <w:pPr>
        <w:pStyle w:val="Cmsor2"/>
        <w:ind w:left="-5"/>
      </w:pPr>
      <w:bookmarkStart w:id="5" w:name="_Toc35602"/>
      <w:r>
        <w:t>Az egyensúlyról, számokban</w:t>
      </w:r>
      <w:r>
        <w:t xml:space="preserve"> </w:t>
      </w:r>
      <w:bookmarkEnd w:id="5"/>
    </w:p>
    <w:p w14:paraId="1EEFD106" w14:textId="77777777" w:rsidR="003574D2" w:rsidRDefault="00AA0758">
      <w:pPr>
        <w:ind w:left="-5" w:right="0"/>
      </w:pPr>
      <w:r>
        <w:t>A Fehér Ház 2014-es jelentése</w:t>
      </w:r>
      <w:r>
        <w:t xml:space="preserve"> </w:t>
      </w:r>
      <w:r>
        <w:t xml:space="preserve">szerint (The White House, 2014) az MME és a munkahelyi rugalmasság (például home office, részmunkaidő, időbeosztás átszervezése) csökkenti a távollétet és a fluktuációt, javítja a dolgozók egészségét és növeli termelékenységüket. </w:t>
      </w:r>
      <w:r>
        <w:t xml:space="preserve"> </w:t>
      </w:r>
    </w:p>
    <w:p w14:paraId="71328527" w14:textId="77777777" w:rsidR="003574D2" w:rsidRDefault="00AA0758">
      <w:pPr>
        <w:ind w:left="-5" w:right="0"/>
      </w:pPr>
      <w:r>
        <w:t>Több mint 700 európai és észak-amerikai cég vizsgálata alapján</w:t>
      </w:r>
      <w:r>
        <w:t xml:space="preserve"> </w:t>
      </w:r>
      <w:r>
        <w:t>elmondható, hogy szoros, pozitív kapcsolat van az MME-gyakorlatok és az összvállalati termelékenység között. A jelentés szerint</w:t>
      </w:r>
      <w:r>
        <w:t xml:space="preserve"> </w:t>
      </w:r>
      <w:r>
        <w:t>a rugalmasság bevezetése ugyan költséggel járhat (például technológia, monitoring), de a gazdasági előnyök általában meghaladják a ráfordításokat. Alacsonyabb munkavállalói fluktuáció és magasabb megtartási arány mellett, jobb dolgozói egészséget, kevesebb hiányzást, így magasabb vállalati profitot hoznak.</w:t>
      </w:r>
      <w:r>
        <w:t xml:space="preserve"> </w:t>
      </w:r>
    </w:p>
    <w:p w14:paraId="3A2B2F4A" w14:textId="77777777" w:rsidR="003574D2" w:rsidRDefault="00AA0758">
      <w:pPr>
        <w:ind w:left="-5" w:right="0"/>
      </w:pPr>
      <w:r>
        <w:t xml:space="preserve">A kétezertízes és húszas </w:t>
      </w:r>
      <w:r>
        <w:t>évek nemzetközi kutatásai rendre megerősítik, hogy a munka és magánélet kiegyensúlyozása közvetlenül is hozzájárulhat a termelékenység növekedéséhez. Általa csökken a munkavállalóknál a stressz, ezzel javul a mentális és fizikai jóllét, nő a motiváció és az elégedettség. Ezek a tényezők hatékonyabb munkavégzést tesznek lehetővé.</w:t>
      </w:r>
      <w:r>
        <w:t xml:space="preserve"> </w:t>
      </w:r>
      <w:r>
        <w:t>Ha a munka és a magánélet közötti határ stabil, kevesebb a</w:t>
      </w:r>
      <w:r>
        <w:t xml:space="preserve"> </w:t>
      </w:r>
      <w:r>
        <w:t>kiégés, a</w:t>
      </w:r>
      <w:r>
        <w:t xml:space="preserve"> </w:t>
      </w:r>
      <w:r>
        <w:t>betegség</w:t>
      </w:r>
      <w:r>
        <w:t xml:space="preserve"> </w:t>
      </w:r>
      <w:r>
        <w:t>miatti hiányzás és a fluktuáció (Németh, 2024; Erdélyi, 2024b).</w:t>
      </w:r>
      <w:r>
        <w:t xml:space="preserve">  </w:t>
      </w:r>
    </w:p>
    <w:p w14:paraId="25C2091E" w14:textId="77777777" w:rsidR="003574D2" w:rsidRDefault="00AA0758">
      <w:pPr>
        <w:ind w:left="-5" w:right="0"/>
      </w:pPr>
      <w:r>
        <w:t xml:space="preserve">Az Oeconomus </w:t>
      </w:r>
      <w:r>
        <w:t>és a WHC közös</w:t>
      </w:r>
      <w:r>
        <w:t xml:space="preserve"> </w:t>
      </w:r>
      <w:r>
        <w:t>kutatásából</w:t>
      </w:r>
      <w:r>
        <w:t xml:space="preserve"> </w:t>
      </w:r>
      <w:r>
        <w:t>kiderült, hogy</w:t>
      </w:r>
      <w:r>
        <w:t xml:space="preserve"> </w:t>
      </w:r>
      <w:r>
        <w:t>a versenyképes fizetés (61%) mellett a munkahelyválasztásnál kiemelkedően fontos a barátságos munkahelyi légkör és az ideális távolság a munkahely és a lakóhely között (34</w:t>
      </w:r>
      <w:r>
        <w:t xml:space="preserve">-34%), valamint a </w:t>
      </w:r>
      <w:r>
        <w:t>munka és magánélet egyensúlya, illetve a rugalmas munkaidő is (32</w:t>
      </w:r>
      <w:r>
        <w:t xml:space="preserve">-30%) </w:t>
      </w:r>
      <w:r>
        <w:t>(Horváth, 2025; Erdélyi, 2025</w:t>
      </w:r>
      <w:r>
        <w:t xml:space="preserve">). </w:t>
      </w:r>
      <w:r>
        <w:t xml:space="preserve">A Workmonitor legfrissebb kutatási eredményei szerint a munka és magánélet összeegyeztetésének lehetősége a bérezés fontosságát egy százalékkal </w:t>
      </w:r>
      <w:r>
        <w:t xml:space="preserve">meg is haladja (83%:82%) (Randstad, 2025). </w:t>
      </w:r>
      <w:r>
        <w:t>Ez az elmozdulás különösen a fiatalabb generációk körében erős. (Erdélyi, 2025; Randstad, 2025). Azaz a rugalmasság ma már nem pusztán előny, hanem sok munkavállaló, különösen a 30 alatti generációk számára elvárás.</w:t>
      </w:r>
      <w:r>
        <w:t xml:space="preserve"> </w:t>
      </w:r>
      <w:r>
        <w:t xml:space="preserve">A munkavállalók az anyagi biztonság mellett egyre inkább pszichés jóllétre, emberi méltóságra és szakmai önmegvalósításra is törekednek. </w:t>
      </w:r>
      <w:r>
        <w:t xml:space="preserve">Azaz a </w:t>
      </w:r>
      <w:r>
        <w:t>munkáltatók számára kulcsfontosságúvá vált az emberi tényezőkbe való befektetés.</w:t>
      </w:r>
      <w:r>
        <w:t xml:space="preserve"> </w:t>
      </w:r>
    </w:p>
    <w:p w14:paraId="1FE49892" w14:textId="77777777" w:rsidR="003574D2" w:rsidRDefault="00AA0758">
      <w:pPr>
        <w:ind w:left="-5" w:right="0"/>
      </w:pPr>
      <w:r>
        <w:t>A munka-magánélet egyensúlyt globálisan vizsgáló Globális munka-</w:t>
      </w:r>
      <w:r>
        <w:t>magánélet egyensúlyát mérő index</w:t>
      </w:r>
      <w:r>
        <w:rPr>
          <w:vertAlign w:val="superscript"/>
        </w:rPr>
        <w:footnoteReference w:id="1"/>
      </w:r>
      <w:r>
        <w:t xml:space="preserve">, komplex és sokoldalú szempontok alapján rangsorolja a </w:t>
      </w:r>
      <w:r>
        <w:lastRenderedPageBreak/>
        <w:t>legnagyobb gazdaságokat. A világ 60 legnagyobb GDP-jű országára vonatkozóan, 2025-ben készített index olyan tényezők mentén mér, amelyek a jóllétet, a rugalmasságot és a fenntartható életminőséget egyaránt tükrözik (Remote, é.n.). Az index a magánélet-</w:t>
      </w:r>
      <w:r>
        <w:t>munka egyensúlyának holisztikus megközelítése. Nemcsak a munkával és magánélettel töltött időt (szabadnapok, munkaszüneti napok, betegszabadság, szülési szabadság a törvények szerint, átlagos heti munkaidő stb.) méri, hanem a jóllét olyan egyéb feltételeit is, mint a minimálbér, az egészségügyi ellátás színvonala és elérhetősége, a közbiztonság vagy a lakosság boldogságindexe.</w:t>
      </w:r>
      <w:r>
        <w:t xml:space="preserve"> </w:t>
      </w:r>
    </w:p>
    <w:p w14:paraId="1FBDD642" w14:textId="77777777" w:rsidR="003574D2" w:rsidRDefault="00AA0758">
      <w:pPr>
        <w:spacing w:after="10"/>
        <w:ind w:left="-5" w:right="0"/>
      </w:pPr>
      <w:r>
        <w:t xml:space="preserve">A GLWBI hatvanas listáját (100 pontos skála) 86,87 ponttal Új-Zéland vezeti, </w:t>
      </w:r>
      <w:r>
        <w:t>a következő öt helyet európai országok foglalják el: Írország, Belgium, Németország, Norvégia és Dánia.</w:t>
      </w:r>
      <w:r>
        <w:t xml:space="preserve"> </w:t>
      </w:r>
      <w:r>
        <w:t>Ezek az országok jelentős szabadságot és juttatásokat biztosítanak a munkavállalóiknak, legyen szó éves szabadságról, szülési vagy szülői szabadságról, betegszabadságról, vagy a minimálbér szintjéről. Norvégia és Dánia a legrövidebb heti munkaidővel rendelkezik Európában (32,6 óra/hét), de a többi listavezető is viszonylag rövid heti</w:t>
      </w:r>
      <w:r>
        <w:t xml:space="preserve"> </w:t>
      </w:r>
      <w:r>
        <w:t xml:space="preserve">munkaidőt ír elő (pl. Belgium 34,1 óra/hét) (Erdélyi, 2024). </w:t>
      </w:r>
      <w:r>
        <w:t xml:space="preserve">A következő két, Európán kívüli ország a 7-8. helyen áll, Kanada és Ausztrália. Az 50. hely felett már kizárólag kelet-ázsiai és afrikai országok szerepelnek – egy kivétellel. 60 országból az 59. helyen végzett az Egyesült Államok, 34,28 ponttal, a sort záró Nigéria (30 pont) előtt. A kutatás szerint az USA munkahelyi környezete továbbra is a hosszú munkaórákat és a korlátozott fizetett szabadságokat helyezi előtérbe, ami jelentősen rontja a munka és magánélet egyensúlyát, növeli a kiégés veszélyét. </w:t>
      </w:r>
      <w:r>
        <w:t>A helyezés megszerzésekor ehhez a rossz közbiztonság és az államilag biztosított egészségügyi ellátás hiányosságai is hozzáadódnak.</w:t>
      </w:r>
      <w:r>
        <w:t xml:space="preserve"> </w:t>
      </w:r>
    </w:p>
    <w:p w14:paraId="50D164D0" w14:textId="77777777" w:rsidR="003574D2" w:rsidRDefault="00AA0758">
      <w:pPr>
        <w:pStyle w:val="Cmsor2"/>
        <w:spacing w:after="10" w:line="270" w:lineRule="auto"/>
        <w:ind w:left="-5"/>
        <w:jc w:val="both"/>
      </w:pPr>
      <w:bookmarkStart w:id="6" w:name="_Toc35603"/>
      <w:r>
        <w:t>Helyünk a világban</w:t>
      </w:r>
      <w:r>
        <w:t xml:space="preserve"> </w:t>
      </w:r>
      <w:bookmarkEnd w:id="6"/>
    </w:p>
    <w:p w14:paraId="0C155A4E" w14:textId="77777777" w:rsidR="003574D2" w:rsidRDefault="00AA0758">
      <w:pPr>
        <w:spacing w:after="79"/>
        <w:ind w:left="-5" w:right="0"/>
      </w:pPr>
      <w:r>
        <w:t xml:space="preserve">A fentebb elemzett, GLWBI listán Magyarország 2025-ben a felső harmadban, a 19. helyen áll (63,94 pont), ami egyben a Közép-Európai Régió 2. helyét jelenti. (2024-ben a 18. hely még az első Közép-Európai pozícióra volt elég.) A viszonylag jó helyezés kisebb részben a viszonylag jó közbiztonságnak köszönhető, </w:t>
      </w:r>
      <w:r>
        <w:t>illetve az általános biztosítás alapú egészségügyi ellátásnak (annak minden gyengesége ellenére) és a definiált minimálbérnek (még ha az Közép-Európa egyik legalacsonyabbja is). Nagy hatást gyakorol a jó helyezésre a 15 nap fizetett betegszabadság és a szülői és gyermekgondozási szabadság hossza. Ez utóbbi a finn és a szlovák után a leghosszabb Európában, míg a kontinens legtöbb országa csupán a gyermek 1-1,5 éves koráig biztosít fizetett távollétet. A</w:t>
      </w:r>
      <w:r>
        <w:t xml:space="preserve"> </w:t>
      </w:r>
      <w:r>
        <w:t>szabadságok</w:t>
      </w:r>
      <w:r>
        <w:t xml:space="preserve"> </w:t>
      </w:r>
      <w:r>
        <w:t>(</w:t>
      </w:r>
      <w:r>
        <w:t xml:space="preserve">azaz fizetett, törvényben előírt szabadnapok és a munkaszüneti ünnepnapok) a munka-magánélet egyensúlya szempontjából kiemelten fontosak. Az EU átlagában a szabadságok és fizetett ünnepek összesenje 33 nap. Magyarország a maga 31 napjával a középmezőnyben van. Ebbe a 11 ünnepnap mellett csak a 20 nap alapszabadság számolódik bele, a kor függvényében járó további maximum 10 nap, a gyermekek után igénybe vehető napok, és az élethelyzet, egészségi </w:t>
      </w:r>
    </w:p>
    <w:p w14:paraId="2A36148A" w14:textId="77777777" w:rsidR="003574D2" w:rsidRDefault="00AA0758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002F379" wp14:editId="6C434E1C">
                <wp:extent cx="1829054" cy="7620"/>
                <wp:effectExtent l="0" t="0" r="0" b="0"/>
                <wp:docPr id="32910" name="Group 329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7620"/>
                          <a:chOff x="0" y="0"/>
                          <a:chExt cx="1829054" cy="7620"/>
                        </a:xfrm>
                      </wpg:grpSpPr>
                      <wps:wsp>
                        <wps:cNvPr id="36326" name="Shape 36326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910" style="width:144.02pt;height:0.599976pt;mso-position-horizontal-relative:char;mso-position-vertical-relative:line" coordsize="18290,76">
                <v:shape id="Shape 36327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Calibri" w:eastAsia="Calibri" w:hAnsi="Calibri" w:cs="Calibri"/>
        </w:rPr>
        <w:t xml:space="preserve"> </w:t>
      </w:r>
    </w:p>
    <w:p w14:paraId="77BEC06E" w14:textId="77777777" w:rsidR="003574D2" w:rsidRDefault="00AA0758">
      <w:pPr>
        <w:spacing w:after="242"/>
        <w:ind w:left="-5" w:right="0"/>
      </w:pPr>
      <w:r>
        <w:t>állapot kapcsán, törvény alapján igénybe vehető további szabadság napok nem (Erdélyi, 2024b).</w:t>
      </w:r>
      <w:r>
        <w:t xml:space="preserve"> </w:t>
      </w:r>
    </w:p>
    <w:p w14:paraId="6BE9350B" w14:textId="77777777" w:rsidR="003574D2" w:rsidRDefault="00AA0758">
      <w:pPr>
        <w:pStyle w:val="Cmsor2"/>
        <w:ind w:left="-5"/>
      </w:pPr>
      <w:bookmarkStart w:id="7" w:name="_Toc35604"/>
      <w:r>
        <w:lastRenderedPageBreak/>
        <w:t>Változó tendenciák a 2020-as években</w:t>
      </w:r>
      <w:r>
        <w:t xml:space="preserve"> </w:t>
      </w:r>
      <w:bookmarkEnd w:id="7"/>
    </w:p>
    <w:p w14:paraId="6CA4D537" w14:textId="77777777" w:rsidR="003574D2" w:rsidRDefault="00AA0758">
      <w:pPr>
        <w:ind w:left="-5" w:right="0"/>
      </w:pPr>
      <w:r>
        <w:t>A munka-magánélet egyensúlyához szorosan kapcsolódik az</w:t>
      </w:r>
      <w:r>
        <w:t xml:space="preserve"> </w:t>
      </w:r>
      <w:r>
        <w:t xml:space="preserve">otthoni munkavégzés, illetve a kellő mennyiségű és minőségű szabadságok kérdése is. Megfigyelhető, hogy a 2020-as évek elején, a koronavírus-járvány hatására nőtt az otthoni munkavégzés elterjedése Európában és Magyarországon is, ami elősegítette a munka és magánélet jobb összehangolását. </w:t>
      </w:r>
      <w:r>
        <w:t>Az Eurostat (2024) adati alapján az Unió átlagában az otthoni munkavégzés aránya 2015-ben 13%</w:t>
      </w:r>
      <w:r>
        <w:rPr>
          <w:vertAlign w:val="superscript"/>
        </w:rPr>
        <w:footnoteReference w:id="2"/>
      </w:r>
      <w:r>
        <w:t xml:space="preserve"> volt – a rendszeresen otthonról dolgozók átlaga 4,9%. Ez a munkavégzési forma legnagyobb arányban a Benelux államokban és a Skandináv országokban fordult elő. A Benelux államok átlaga 2015-ben 29,63% (rendszeresen: 11,63%), a Finnországgal és Izlanddal bővített Skandináv államok átlaga 26,26% (rendszeresen: 7,62%). Az otthoni munkavégzés a legritkább a volt szocialista blokk országaiban. A Visegrádi országok 2015-</w:t>
      </w:r>
      <w:r>
        <w:t xml:space="preserve">ös átlaga 10,23% (rendszeresen: 3,93%), míg a Balti országoké 7% (rendszeresen: 2,87%). </w:t>
      </w:r>
      <w:r>
        <w:t xml:space="preserve"> </w:t>
      </w:r>
    </w:p>
    <w:p w14:paraId="0A948051" w14:textId="77777777" w:rsidR="003574D2" w:rsidRDefault="00AA0758">
      <w:pPr>
        <w:ind w:left="-5" w:right="0"/>
      </w:pPr>
      <w:r>
        <w:t>2021-re az unió átlagában 24,1%-ra nőtt az időnként vagy rendszeresen otthonról dolgozók aránya, ebből rendszeresen: 13,5% dolgozott otthon. A Benelux (átlag: 46,3%, rendszeresen: 24,9%) és Skandináv országok (átlag: 41,3%, rendszeresen: 21,55%</w:t>
      </w:r>
      <w:r>
        <w:rPr>
          <w:vertAlign w:val="superscript"/>
        </w:rPr>
        <w:footnoteReference w:id="3"/>
      </w:r>
      <w:r>
        <w:t xml:space="preserve">) az Uniós átlagtól gyakrabban, míg a Visegrádi (átlag: 14,63%, rendszeresen: 6,55%) és a Balti országok (átlag: 18,07%, rendszeresen: 11,67%) </w:t>
      </w:r>
      <w:r>
        <w:t>ritkábban élnek az ilyen foglalkoztatás lehetőségével. Magyarországon az Uniós átlagtól jelentősen elmaradó arányról és kisebb növekedésről számolhatunk be ugyanebben az időszakban. Az otthoni munkavégzés aránya 2015-ről 2021-re 8,7-ről (rendszeresen: 3,4%) 13,5%-ra (rendszeresen: 4,6%) nőtt.</w:t>
      </w:r>
      <w:r>
        <w:t xml:space="preserve"> </w:t>
      </w:r>
    </w:p>
    <w:p w14:paraId="7E0B551A" w14:textId="77777777" w:rsidR="003574D2" w:rsidRDefault="00AA0758">
      <w:pPr>
        <w:spacing w:after="4"/>
        <w:ind w:left="-5" w:right="0"/>
      </w:pPr>
      <w:r>
        <w:t xml:space="preserve">A </w:t>
      </w:r>
      <w:r>
        <w:t>járványidőszak lecsengését követően a munkáltatók tudatosan törekedtek a dolgozók irodába való visszahívására, és arra, hogy az otthoni munkavégzés alternatív, a munka és magánélet egyensúlyát segítő lehetőségként maradjon meg. 2024-re az Unió átlagában az otthoni munkavégzés 22,6%-ra esett vissza, a rendszeresen otthonról dolgozók aránya 8,9%. Az egyes országokat tekintve az otthoni munkavégzés a 201524-es időszakban 2,2-szeresére nőtt, jelentősen az átlagtól eltérő, 3-4,7-</w:t>
      </w:r>
      <w:r>
        <w:t>szeres növekedést Horvátország, Ciprus, Lettország, Románia és Norvégia mutatott. Az otthoni munkavégzés növekedési rekordját Málta tartja, ahol a vizsgált időszakban 5,4szeres növekedés figyelhető meg. A legalább néha távmunkát végzők aránya egyedül Lengyelországban csökkent – azaz a számadatokat tekintve inkább 15% körül stagnált. A rendszeresen otthonról dolgozók aránya az időszakban valamivel kisebb, 2,1-szeres mértékben nőtt, a szórás azonban itt már jelentősebb. 3,7-5,5-</w:t>
      </w:r>
      <w:r>
        <w:t xml:space="preserve">szörös közötti növekedést mutat Bulgária, Dánia, Írország, Horvátország, Lettország, Málta. Míg Németország, Luxemburg, Hollandia, Lengyelország, Szerbia és Szlovénia esetén a </w:t>
      </w:r>
    </w:p>
    <w:p w14:paraId="13CCB0B2" w14:textId="77777777" w:rsidR="003574D2" w:rsidRDefault="00AA0758">
      <w:pPr>
        <w:spacing w:after="110"/>
        <w:ind w:left="-5" w:right="0"/>
      </w:pPr>
      <w:r>
        <w:t xml:space="preserve">2024-es, rendszeresen otthonról dolgozók aránya a 2015-ös arány 87-98%-ára esett </w:t>
      </w:r>
    </w:p>
    <w:p w14:paraId="2EA36605" w14:textId="77777777" w:rsidR="003574D2" w:rsidRDefault="00AA0758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D186A40" wp14:editId="5CB1109C">
                <wp:extent cx="1829054" cy="7620"/>
                <wp:effectExtent l="0" t="0" r="0" b="0"/>
                <wp:docPr id="32961" name="Group 329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7620"/>
                          <a:chOff x="0" y="0"/>
                          <a:chExt cx="1829054" cy="7620"/>
                        </a:xfrm>
                      </wpg:grpSpPr>
                      <wps:wsp>
                        <wps:cNvPr id="36328" name="Shape 36328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961" style="width:144.02pt;height:0.600037pt;mso-position-horizontal-relative:char;mso-position-vertical-relative:line" coordsize="18290,76">
                <v:shape id="Shape 36329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Calibri" w:eastAsia="Calibri" w:hAnsi="Calibri" w:cs="Calibri"/>
        </w:rPr>
        <w:t xml:space="preserve"> </w:t>
      </w:r>
    </w:p>
    <w:p w14:paraId="4D8DA0FC" w14:textId="77777777" w:rsidR="003574D2" w:rsidRDefault="00AA0758">
      <w:pPr>
        <w:ind w:left="-5" w:right="0"/>
      </w:pPr>
      <w:r>
        <w:lastRenderedPageBreak/>
        <w:t xml:space="preserve">vissza. Ugyanakkor a két Benelux állam esetén a rendszeresen otthonról dolgozók aránya a 2024-es Uniós átlagot még mindig 3-4 százalékponttal meghaladja. </w:t>
      </w:r>
      <w:r>
        <w:t xml:space="preserve"> </w:t>
      </w:r>
    </w:p>
    <w:p w14:paraId="4D65D536" w14:textId="77777777" w:rsidR="003574D2" w:rsidRDefault="00AA0758">
      <w:pPr>
        <w:ind w:left="-5" w:right="0"/>
      </w:pPr>
      <w:r>
        <w:t>Magyarországon a legalább néha otthon dolgozók aránya 2015-</w:t>
      </w:r>
      <w:r>
        <w:t>21 között mintegy 5 százalékponttal nőtt (8,7-ről 13,5%-ra), ám a járványidőszak közvetlen hatásainak elmúltával 2024-re az arány a 2020 előtti közelében lévő értékre állt vissza (9%). A covid hatása az otthoni munkát végzők közül inkább a rendszeresen otthonról dolgozók arányának növekedésében mutatkozott meg: amíg 2015-ben 3,4% dolgozott rendszeresen otthonról (a teljes otthonról dolgozó kör 39%-a) és 2021-ben is csak 4,6% (a teljes kör 34%-a), a 2024-es, 4%-</w:t>
      </w:r>
      <w:r>
        <w:t>os arány a teljes, legalább néha otthonról dolgozók 44%-a.</w:t>
      </w:r>
      <w:r>
        <w:t xml:space="preserve"> </w:t>
      </w:r>
    </w:p>
    <w:p w14:paraId="56B16783" w14:textId="77777777" w:rsidR="003574D2" w:rsidRDefault="00AA0758">
      <w:pPr>
        <w:ind w:left="-5" w:right="0"/>
      </w:pPr>
      <w:r>
        <w:t>A globális tendencia tehát Magyarországon is egyre jelentősebbé válik.</w:t>
      </w:r>
      <w:r>
        <w:t xml:space="preserve"> </w:t>
      </w:r>
      <w:r>
        <w:t>Nemcsak egyre inkább elvárás lesz a magyar munkavállalók részéről is a kellő egyensúly, hanem annak megteremtése jelentős hatással van a munkahelyi elégedettségre, elkötelezettségre, valamint hosszabb távon a munkaerőpiaci helyzetre és termelékenységre is.</w:t>
      </w:r>
      <w:r>
        <w:t xml:space="preserve"> </w:t>
      </w:r>
      <w:r>
        <w:br w:type="page"/>
      </w:r>
    </w:p>
    <w:p w14:paraId="6EDCDFD5" w14:textId="77777777" w:rsidR="003574D2" w:rsidRDefault="00AA0758">
      <w:pPr>
        <w:pStyle w:val="Cmsor1"/>
        <w:numPr>
          <w:ilvl w:val="0"/>
          <w:numId w:val="0"/>
        </w:numPr>
        <w:ind w:left="-5" w:right="0"/>
      </w:pPr>
      <w:bookmarkStart w:id="8" w:name="_Toc35605"/>
      <w:r>
        <w:lastRenderedPageBreak/>
        <w:t>MIT AD AZ ÁLLAM?</w:t>
      </w:r>
      <w:r>
        <w:t xml:space="preserve"> </w:t>
      </w:r>
      <w:bookmarkEnd w:id="8"/>
    </w:p>
    <w:p w14:paraId="2A83E704" w14:textId="77777777" w:rsidR="003574D2" w:rsidRDefault="00AA0758">
      <w:pPr>
        <w:spacing w:after="242"/>
        <w:ind w:left="-5" w:right="0"/>
      </w:pPr>
      <w:r>
        <w:t>A munka és magánélet összeegyeztetéséhez az állam elsősorban olyan jogszabályokkal tud keretet adni, amelyek a munkaidő-szabadidő-pihenőidő, illetve a bérezés és juttatások kérdésköreit keretezik, illetve ezek mentén adnak támogatást és/vagy felhatalmazást a munkáltatónak és/vagy a munkavállalónak.</w:t>
      </w:r>
      <w:r>
        <w:t xml:space="preserve"> </w:t>
      </w:r>
    </w:p>
    <w:p w14:paraId="21424904" w14:textId="77777777" w:rsidR="003574D2" w:rsidRDefault="00AA0758">
      <w:pPr>
        <w:pStyle w:val="Cmsor2"/>
        <w:ind w:left="-5"/>
      </w:pPr>
      <w:bookmarkStart w:id="9" w:name="_Toc35606"/>
      <w:r>
        <w:t>A munka- és szabadidőt meghatározó állami intézkedések</w:t>
      </w:r>
      <w:r>
        <w:t xml:space="preserve"> </w:t>
      </w:r>
      <w:bookmarkEnd w:id="9"/>
    </w:p>
    <w:p w14:paraId="06F7D9A6" w14:textId="77777777" w:rsidR="003574D2" w:rsidRDefault="00AA0758">
      <w:pPr>
        <w:spacing w:after="198"/>
        <w:ind w:left="-5" w:right="0"/>
      </w:pPr>
      <w:r>
        <w:t xml:space="preserve">A munka-magánélet egyensúly kulcsa az idő és energia egyenletes elosztása az életterületek között. </w:t>
      </w:r>
      <w:r>
        <w:t>Az állam ehhez a következők szabályozásával teremt alapot:</w:t>
      </w:r>
      <w:r>
        <w:rPr>
          <w:rFonts w:ascii="Calibri" w:eastAsia="Calibri" w:hAnsi="Calibri" w:cs="Calibri"/>
        </w:rPr>
        <w:t xml:space="preserve"> </w:t>
      </w:r>
    </w:p>
    <w:p w14:paraId="6D657BCF" w14:textId="77777777" w:rsidR="003574D2" w:rsidRDefault="00AA0758">
      <w:pPr>
        <w:pStyle w:val="Cmsor3"/>
        <w:ind w:left="-5"/>
      </w:pPr>
      <w:bookmarkStart w:id="10" w:name="_Toc35607"/>
      <w:r>
        <w:t>Munkaszüneti napok</w:t>
      </w:r>
      <w:r>
        <w:t xml:space="preserve"> </w:t>
      </w:r>
      <w:bookmarkEnd w:id="10"/>
    </w:p>
    <w:p w14:paraId="694BB17A" w14:textId="77777777" w:rsidR="003574D2" w:rsidRDefault="00AA0758">
      <w:pPr>
        <w:ind w:left="-5" w:right="0"/>
      </w:pPr>
      <w:r>
        <w:t>Évente egyes nemzeti ünnepek, illetve a keresztény vallási ünnepekhez tartozó egyes napok fizetett ünnepek. A munkaszüneti napokat a Munka törvénykönyvéről szóló 2012. évi I. törvény (továbbiakban: Mt.) 102§-a írja le. A munkaszüneti napokra eső munkavégzést az Mt. szigorúan szabályozza, illetve 100%-os bérpótlék adását írja elő.</w:t>
      </w:r>
      <w:r>
        <w:t xml:space="preserve"> </w:t>
      </w:r>
    </w:p>
    <w:p w14:paraId="17E48A23" w14:textId="77777777" w:rsidR="003574D2" w:rsidRDefault="00AA0758">
      <w:pPr>
        <w:ind w:left="-5" w:right="0"/>
      </w:pPr>
      <w:r>
        <w:t>Állandó dátumra eső munkaszüneti napok: január 1., március 15., május 1., augusztus 20., október 23., november 1., december 25-26.</w:t>
      </w:r>
      <w:r>
        <w:t xml:space="preserve"> </w:t>
      </w:r>
    </w:p>
    <w:p w14:paraId="35941B03" w14:textId="77777777" w:rsidR="003574D2" w:rsidRDefault="00AA0758">
      <w:pPr>
        <w:spacing w:after="209"/>
        <w:ind w:left="-5" w:right="0"/>
      </w:pPr>
      <w:r>
        <w:t>Változó dátumra eső munkaszüneti napok: nagypéntek, húsvét vasárnap és hétfő, pünkösdvasárnap és -hétfő.</w:t>
      </w:r>
      <w:r>
        <w:t xml:space="preserve"> </w:t>
      </w:r>
    </w:p>
    <w:p w14:paraId="0DDD01B5" w14:textId="77777777" w:rsidR="003574D2" w:rsidRDefault="00AA0758">
      <w:pPr>
        <w:pStyle w:val="Cmsor3"/>
        <w:ind w:left="-5"/>
      </w:pPr>
      <w:bookmarkStart w:id="11" w:name="_Toc35608"/>
      <w:r>
        <w:t>Szabadnapok</w:t>
      </w:r>
      <w:r>
        <w:t xml:space="preserve"> </w:t>
      </w:r>
      <w:bookmarkEnd w:id="11"/>
    </w:p>
    <w:p w14:paraId="72973865" w14:textId="77777777" w:rsidR="003574D2" w:rsidRDefault="00AA0758">
      <w:pPr>
        <w:ind w:left="-5" w:right="0"/>
      </w:pPr>
      <w:r>
        <w:t>A dolgozó fizetett szabadságát az Mt. 115-125§ szabályozza. Az alapszabadság 20 nap, amely a munkavállaló 25 éves korától kezdve háromévente egy nappal nő, a maximális életkor szerinti pótszabadság (45 éves kortól) 10 nap.</w:t>
      </w:r>
      <w:r>
        <w:t xml:space="preserve"> </w:t>
      </w:r>
    </w:p>
    <w:p w14:paraId="2E5B6B03" w14:textId="77777777" w:rsidR="003574D2" w:rsidRDefault="00AA0758">
      <w:pPr>
        <w:ind w:left="-5" w:right="0"/>
      </w:pPr>
      <w:r>
        <w:t>A fogyatékossággal élő, megváltozott munkaképességű, illetve 18 év alatti munkavállalóknak évi 5 nap pótszabadság jár.</w:t>
      </w:r>
      <w:r>
        <w:t xml:space="preserve"> </w:t>
      </w:r>
    </w:p>
    <w:p w14:paraId="0425105C" w14:textId="77777777" w:rsidR="003574D2" w:rsidRDefault="00AA0758">
      <w:pPr>
        <w:ind w:left="-5" w:right="0"/>
      </w:pPr>
      <w:r>
        <w:t>A munkavállalót gyermeke 16 éves koráig egy gyermek után 2, két gyermek után 4, ennél több gyermek után 7 nap szülői szabadság illeti meg, ez fogyatékos gyermek után (gyermekenként) további 2 nappal bővül.</w:t>
      </w:r>
      <w:r>
        <w:t xml:space="preserve"> </w:t>
      </w:r>
    </w:p>
    <w:p w14:paraId="1CF14ABA" w14:textId="77777777" w:rsidR="003574D2" w:rsidRDefault="00AA0758">
      <w:pPr>
        <w:ind w:left="-5" w:right="0"/>
      </w:pPr>
      <w:r>
        <w:t xml:space="preserve">Gyermek születésekor az apákat az első négy hónapban 10 apanap illeti meg – örökbefogadás esetén is. </w:t>
      </w:r>
      <w:r>
        <w:t>Az anyát 24 hét szülési szabadság illeti meg, amelyből két hetet kötelező kivenni. A szülési szabadság a szülést megelőző legkorábban 4. héttől kezdhető meg. Ezt követően a szülőket a gyermek 3 éves koráig (gyed, gyes ideje alatt) illeti meg a gyermek otthoni gondozásának céljából fizetésnélküli szabadság, ami a szülők (apa is!) mellett a nagyszülők is igénybe vehetnek.</w:t>
      </w:r>
      <w:r>
        <w:t xml:space="preserve"> </w:t>
      </w:r>
    </w:p>
    <w:p w14:paraId="6FCC88F9" w14:textId="77777777" w:rsidR="003574D2" w:rsidRDefault="00AA0758">
      <w:pPr>
        <w:ind w:left="-5" w:right="0"/>
      </w:pPr>
      <w:r>
        <w:t>Fizetésnélküli szabadság kérhető a gyermek tíz éves koráig gyermek gondozása, beteg hozzátartozó 30 napot meghaladó ápolása vagy önkéntes katonai szolgálat teljesítése céljából.</w:t>
      </w:r>
      <w:r>
        <w:t xml:space="preserve"> </w:t>
      </w:r>
    </w:p>
    <w:p w14:paraId="14AFBCA2" w14:textId="77777777" w:rsidR="003574D2" w:rsidRDefault="00AA0758">
      <w:pPr>
        <w:ind w:left="-5" w:right="0"/>
      </w:pPr>
      <w:r>
        <w:t>A dolgozót megilleti továbbá évi 15 nap betegszabadság és a biztosítási jogviszony hosszának függvényében fizetett táppénz.</w:t>
      </w:r>
      <w:r>
        <w:t xml:space="preserve"> </w:t>
      </w:r>
    </w:p>
    <w:p w14:paraId="34E45637" w14:textId="77777777" w:rsidR="003574D2" w:rsidRDefault="00AA0758">
      <w:pPr>
        <w:pStyle w:val="Cmsor3"/>
        <w:ind w:left="-5"/>
      </w:pPr>
      <w:bookmarkStart w:id="12" w:name="_Toc35609"/>
      <w:r>
        <w:lastRenderedPageBreak/>
        <w:t>Túlóra szabályozása</w:t>
      </w:r>
      <w:r>
        <w:t xml:space="preserve"> </w:t>
      </w:r>
      <w:bookmarkEnd w:id="12"/>
    </w:p>
    <w:p w14:paraId="36CC3AC5" w14:textId="77777777" w:rsidR="003574D2" w:rsidRDefault="00AA0758">
      <w:pPr>
        <w:spacing w:after="245"/>
        <w:ind w:left="-5" w:right="0"/>
      </w:pPr>
      <w:r>
        <w:t xml:space="preserve">A túlóra (rendkívüli munkaidő) mértékét az Mt. 109§ évi 250 órában határozza meg. A jogszabály rendelkezik a túlóra </w:t>
      </w:r>
      <w:r>
        <w:t>elrendelésének módjáról és körülményeiről, illetve az arra járó díjazásról is. Az évente legfeljebb 250 óra munkaidőn felüli munkavégzést a munkavállaló kérésére írásba kell foglalni. A napi munkaidő a túlórával együtt legfeljebb 12 óra lehet. A túlórára 50% bérpótlék jár, pihenő- vagy munkaszüneti napon 100%. A pótlék helyett a munkavállaló és a munkáltató szabadidőben is megállapodhat, pihenő vagy munkaszüneti nap esetén legfeljebb 50% mértékéig (a másik 50% bérpótlékként kifizetendő).</w:t>
      </w:r>
      <w:r>
        <w:t xml:space="preserve"> </w:t>
      </w:r>
    </w:p>
    <w:p w14:paraId="53F779A6" w14:textId="77777777" w:rsidR="003574D2" w:rsidRDefault="00AA0758">
      <w:pPr>
        <w:pStyle w:val="Cmsor2"/>
        <w:ind w:left="-5"/>
      </w:pPr>
      <w:bookmarkStart w:id="13" w:name="_Toc35610"/>
      <w:r>
        <w:t>Jövedelem, juttatásokat meghatározó állami intézkedések</w:t>
      </w:r>
      <w:r>
        <w:t xml:space="preserve"> </w:t>
      </w:r>
      <w:bookmarkEnd w:id="13"/>
    </w:p>
    <w:p w14:paraId="5802A63A" w14:textId="77777777" w:rsidR="003574D2" w:rsidRDefault="00AA0758">
      <w:pPr>
        <w:spacing w:after="206"/>
        <w:ind w:left="-5" w:right="0"/>
      </w:pPr>
      <w:r>
        <w:t>A munka-magánélet egyensúlyát befolyásolja az is, hogy mennyi időt kell eltöltenünk fizetett munkával annak érdekében, hogy létfenntartásunkat biztosítsuk. Így az állam jövedelemmel és kedvezményekkel kapcsolatos intézkedései is hatnak a munkamagánélet egyensúlyra. Ezek:</w:t>
      </w:r>
      <w:r>
        <w:t xml:space="preserve"> </w:t>
      </w:r>
    </w:p>
    <w:p w14:paraId="78AFDF80" w14:textId="77777777" w:rsidR="003574D2" w:rsidRDefault="00AA0758">
      <w:pPr>
        <w:pStyle w:val="Cmsor3"/>
        <w:ind w:left="-5"/>
      </w:pPr>
      <w:bookmarkStart w:id="14" w:name="_Toc35611"/>
      <w:r>
        <w:t>Minimálbér és garantált bérminimum</w:t>
      </w:r>
      <w:r>
        <w:t xml:space="preserve"> </w:t>
      </w:r>
      <w:bookmarkEnd w:id="14"/>
    </w:p>
    <w:p w14:paraId="0E1E28F0" w14:textId="77777777" w:rsidR="003574D2" w:rsidRDefault="00AA0758">
      <w:pPr>
        <w:ind w:left="-5" w:right="0"/>
      </w:pPr>
      <w:r>
        <w:t xml:space="preserve">Az állam jogszabályban rögzíti a minimálbér és a garantált bérminimum éves összegét. A minimálbér a minden munkáltatóra nézve kötelező havi és órabér, a garantált bérminimum a legalább szakmunkás végzettségűeknek akkor jár, ha az általuk betöltött munkakör legalább középfokú végzettséghez kötött. Az összegek évente változnak, 2026-ban a bruttó minimálbér 322.800.- Ft, a garantált bérminimum 373.200 Ft. </w:t>
      </w:r>
      <w:r>
        <w:t xml:space="preserve"> </w:t>
      </w:r>
    </w:p>
    <w:p w14:paraId="36154758" w14:textId="77777777" w:rsidR="003574D2" w:rsidRDefault="00AA0758">
      <w:pPr>
        <w:spacing w:after="208"/>
        <w:ind w:left="-5" w:right="0"/>
      </w:pPr>
      <w:r>
        <w:t xml:space="preserve">A minimálbér megállapításának </w:t>
      </w:r>
      <w:r>
        <w:t>fontosságát az is adja, hogy a legtöbb állami szektorban használt bértáblának az alapját adja, így például a szociális szektorban dolgozók bértáblájának vagy a köztisztviselői illetménykiegészítésnek. E mellett ez az alapja a közfoglalkoztatási bérnek, a súlyos fogyatékosság esetén járó személyi kedvezménynek, a táppénznek, a gyermekgondozási és gyermekek otthongondozási díjának, illetve az álláskeresési járadéknak.</w:t>
      </w:r>
      <w:r>
        <w:t xml:space="preserve"> </w:t>
      </w:r>
    </w:p>
    <w:p w14:paraId="695ED1BC" w14:textId="77777777" w:rsidR="003574D2" w:rsidRDefault="00AA0758">
      <w:pPr>
        <w:pStyle w:val="Cmsor3"/>
        <w:ind w:left="-5"/>
      </w:pPr>
      <w:bookmarkStart w:id="15" w:name="_Toc35612"/>
      <w:r>
        <w:t>Foglalkoztatási támogatások</w:t>
      </w:r>
      <w:r>
        <w:t xml:space="preserve"> </w:t>
      </w:r>
      <w:bookmarkEnd w:id="15"/>
    </w:p>
    <w:p w14:paraId="75A1002C" w14:textId="77777777" w:rsidR="003574D2" w:rsidRDefault="00AA0758">
      <w:pPr>
        <w:ind w:left="-5" w:right="0"/>
      </w:pPr>
      <w:r>
        <w:t>Az állam több programmal segíti a munkába állást és a bérköltségek finanszírozását:</w:t>
      </w:r>
      <w:r>
        <w:t xml:space="preserve"> </w:t>
      </w:r>
    </w:p>
    <w:p w14:paraId="3C9080E2" w14:textId="77777777" w:rsidR="003574D2" w:rsidRDefault="00AA0758">
      <w:pPr>
        <w:ind w:left="-5" w:right="0"/>
      </w:pPr>
      <w:r>
        <w:t>Minimálbér-emelési kompenzáció (Szociális hozzájárulási adó-támogatás): azoknak a munkáltatóknak járhat, amelyek minimálbéren foglalkoztatnak munkavállalókat. Ezt a közszférában jogszabály alapján jár, a vállalkozások esetén pályázható, mindkét esetben a Magyar Államkincstár folyósítja.</w:t>
      </w:r>
      <w:r>
        <w:t xml:space="preserve"> </w:t>
      </w:r>
    </w:p>
    <w:p w14:paraId="0EAD4355" w14:textId="77777777" w:rsidR="003574D2" w:rsidRDefault="00AA0758">
      <w:pPr>
        <w:ind w:left="-5" w:right="0"/>
      </w:pPr>
      <w:r>
        <w:t xml:space="preserve">Fiatalok munkába állásának támogatása (15-29 év): 15 és 29 év közötti álláskeresők felvételekor jár a munkáltatónak. Összege a </w:t>
      </w:r>
      <w:r>
        <w:t>bérköltség 50%-a, 2026-ban maximum 350 000 Ft/hó. Feltétele mentorálás és teljesítményértékelés vállalása a munkáltató részéről.</w:t>
      </w:r>
      <w:r>
        <w:t xml:space="preserve"> </w:t>
      </w:r>
    </w:p>
    <w:p w14:paraId="27FCD691" w14:textId="77777777" w:rsidR="003574D2" w:rsidRDefault="00AA0758">
      <w:pPr>
        <w:pStyle w:val="Cmsor3"/>
        <w:ind w:left="-5"/>
      </w:pPr>
      <w:bookmarkStart w:id="16" w:name="_Toc35613"/>
      <w:r>
        <w:lastRenderedPageBreak/>
        <w:t>Adó- és járulékkedvezmények</w:t>
      </w:r>
      <w:r>
        <w:t xml:space="preserve"> </w:t>
      </w:r>
      <w:bookmarkEnd w:id="16"/>
    </w:p>
    <w:p w14:paraId="29C0457B" w14:textId="77777777" w:rsidR="003574D2" w:rsidRDefault="00AA0758">
      <w:pPr>
        <w:spacing w:after="220"/>
        <w:ind w:left="-5" w:right="0"/>
      </w:pPr>
      <w:r>
        <w:t>A munkavállalókat átmeneti vagy tartós jelleggel, különböző magánéleti körülményeik miatt SZJA kedvezmények illetik meg. Ezek közül a 2026-ban érvényben lévő, legfontosabbak:</w:t>
      </w:r>
      <w:r>
        <w:t xml:space="preserve"> </w:t>
      </w:r>
    </w:p>
    <w:p w14:paraId="50363A21" w14:textId="77777777" w:rsidR="003574D2" w:rsidRDefault="00AA0758">
      <w:pPr>
        <w:numPr>
          <w:ilvl w:val="0"/>
          <w:numId w:val="2"/>
        </w:numPr>
        <w:spacing w:after="59"/>
        <w:ind w:right="0" w:hanging="283"/>
      </w:pPr>
      <w:r>
        <w:rPr>
          <w:b/>
          <w:i/>
        </w:rPr>
        <w:t>Családi kedvezmény</w:t>
      </w:r>
      <w:r>
        <w:t>: 1 gyermek után: 20 000 Ft/hó, 2 gyermek után: 40 000 Ft/gyermek/hó, 3 vagy több gyermek után: 66 000 Ft/gyermek/hó nettó kedvezmény.</w:t>
      </w:r>
      <w:r>
        <w:t xml:space="preserve"> </w:t>
      </w:r>
    </w:p>
    <w:p w14:paraId="4B60D18A" w14:textId="77777777" w:rsidR="003574D2" w:rsidRDefault="00AA0758">
      <w:pPr>
        <w:numPr>
          <w:ilvl w:val="0"/>
          <w:numId w:val="2"/>
        </w:numPr>
        <w:spacing w:after="59"/>
        <w:ind w:right="0" w:hanging="283"/>
      </w:pPr>
      <w:r>
        <w:rPr>
          <w:b/>
          <w:i/>
        </w:rPr>
        <w:t>25 év alattiak kedvezménye</w:t>
      </w:r>
      <w:r>
        <w:rPr>
          <w:b/>
        </w:rPr>
        <w:t>:</w:t>
      </w:r>
      <w:r>
        <w:t xml:space="preserve"> havi bruttó 715 765 Ft jövedelemig 15% SZJAmentesség.</w:t>
      </w:r>
      <w:r>
        <w:t xml:space="preserve"> </w:t>
      </w:r>
    </w:p>
    <w:p w14:paraId="5C5374E5" w14:textId="77777777" w:rsidR="003574D2" w:rsidRDefault="00AA0758">
      <w:pPr>
        <w:numPr>
          <w:ilvl w:val="0"/>
          <w:numId w:val="2"/>
        </w:numPr>
        <w:spacing w:after="62"/>
        <w:ind w:right="0" w:hanging="283"/>
      </w:pPr>
      <w:r>
        <w:t xml:space="preserve">Az </w:t>
      </w:r>
      <w:r>
        <w:rPr>
          <w:b/>
          <w:i/>
        </w:rPr>
        <w:t>első házasok kedvezményét</w:t>
      </w:r>
      <w:r>
        <w:t xml:space="preserve"> az első házasságukat vagy bejegyzett élettársi kapcsolatukat kötő, 40 év alattiak vehetik igénybe, az ezt követő 24 hónapban</w:t>
      </w:r>
      <w:r>
        <w:t xml:space="preserve"> </w:t>
      </w:r>
    </w:p>
    <w:p w14:paraId="08B86643" w14:textId="77777777" w:rsidR="003574D2" w:rsidRDefault="00AA0758">
      <w:pPr>
        <w:numPr>
          <w:ilvl w:val="0"/>
          <w:numId w:val="2"/>
        </w:numPr>
        <w:spacing w:after="62"/>
        <w:ind w:right="0" w:hanging="283"/>
      </w:pPr>
      <w:r>
        <w:rPr>
          <w:b/>
          <w:i/>
        </w:rPr>
        <w:t>Anyák kedvezményei</w:t>
      </w:r>
      <w:r>
        <w:rPr>
          <w:b/>
        </w:rPr>
        <w:t xml:space="preserve">: </w:t>
      </w:r>
      <w:r>
        <w:t>négy- vagy többgyermekes anyák, valamint a 30 év alatti anyák, 40 év alatti, kétgyermekes anyák SZJA-mentessége.</w:t>
      </w:r>
      <w:r>
        <w:t xml:space="preserve"> </w:t>
      </w:r>
    </w:p>
    <w:p w14:paraId="2537CF7D" w14:textId="77777777" w:rsidR="003574D2" w:rsidRDefault="00AA0758">
      <w:pPr>
        <w:numPr>
          <w:ilvl w:val="0"/>
          <w:numId w:val="2"/>
        </w:numPr>
        <w:ind w:right="0" w:hanging="283"/>
      </w:pPr>
      <w:r>
        <w:rPr>
          <w:b/>
          <w:i/>
        </w:rPr>
        <w:t>Személyi kedvezmény</w:t>
      </w:r>
      <w:r>
        <w:rPr>
          <w:b/>
        </w:rPr>
        <w:t>:</w:t>
      </w:r>
      <w:r>
        <w:t xml:space="preserve"> súlyos fogyatékosság (vagy meghatározott betegségek) esetén havi 16 140 Ft adómegtakarítás jár.</w:t>
      </w:r>
      <w:r>
        <w:t xml:space="preserve"> </w:t>
      </w:r>
    </w:p>
    <w:p w14:paraId="691FBC42" w14:textId="77777777" w:rsidR="003574D2" w:rsidRDefault="00AA0758">
      <w:pPr>
        <w:ind w:left="-5" w:right="0"/>
      </w:pPr>
      <w:r>
        <w:t xml:space="preserve">A fenti kedvezmények az összevont adóalapot csökkentik, így közvetlenül növelik a nettó jövedelmet. </w:t>
      </w:r>
      <w:r>
        <w:t xml:space="preserve"> </w:t>
      </w:r>
    </w:p>
    <w:p w14:paraId="0186259E" w14:textId="77777777" w:rsidR="003574D2" w:rsidRDefault="00AA0758">
      <w:pPr>
        <w:spacing w:after="206"/>
        <w:ind w:left="-5" w:right="0"/>
      </w:pPr>
      <w:r>
        <w:t xml:space="preserve">100% </w:t>
      </w:r>
      <w:r>
        <w:rPr>
          <w:b/>
          <w:i/>
        </w:rPr>
        <w:t>járulékkedvezmény (szociális hozzájárulási adó)</w:t>
      </w:r>
      <w:r>
        <w:t xml:space="preserve"> </w:t>
      </w:r>
      <w:r>
        <w:t>jár a munkáltatónak, ha a munkavállalója nyugdíjas, megváltozott munkaképességű, vagy munkaerőpiacre lépő fiatalként vagy legalább háromgyerekes anyaként kezd dolgozni. A fiatalok után két, az anyák után három évig jár a teljes járulékmentesség. Ezt követően a munkaerőpiacra lépők után további egy, a többgyermekes anyák után további két évig jár 50% mértékű kedvezmény.</w:t>
      </w:r>
      <w:r>
        <w:t xml:space="preserve"> </w:t>
      </w:r>
    </w:p>
    <w:p w14:paraId="125DD89F" w14:textId="77777777" w:rsidR="003574D2" w:rsidRDefault="00AA0758">
      <w:pPr>
        <w:pStyle w:val="Cmsor3"/>
        <w:ind w:left="-5"/>
      </w:pPr>
      <w:bookmarkStart w:id="17" w:name="_Toc35614"/>
      <w:r>
        <w:t xml:space="preserve">A béren felüli juttatási lehetőségek és adókedvezményei </w:t>
      </w:r>
      <w:r>
        <w:t xml:space="preserve"> </w:t>
      </w:r>
      <w:bookmarkEnd w:id="17"/>
    </w:p>
    <w:p w14:paraId="354C0469" w14:textId="77777777" w:rsidR="003574D2" w:rsidRDefault="00AA0758">
      <w:pPr>
        <w:ind w:left="-5" w:right="0"/>
      </w:pPr>
      <w:r>
        <w:t xml:space="preserve">Az állam időszakonként különböző mértékben ösztönzi a munkáltatókat arra, hogy dolgozóik számára a magánélettel összefüggő béren felüli juttatásokat biztosítsanak. A juttatások adó- és járulékterhét a munkáltató fizeti, így a munkavállaló a nettó értéket kapja meg. </w:t>
      </w:r>
      <w:r>
        <w:t xml:space="preserve"> </w:t>
      </w:r>
    </w:p>
    <w:p w14:paraId="4051FB69" w14:textId="77777777" w:rsidR="003574D2" w:rsidRDefault="00AA0758">
      <w:pPr>
        <w:ind w:left="-5" w:right="0"/>
      </w:pPr>
      <w:r>
        <w:t>2026-</w:t>
      </w:r>
      <w:r>
        <w:t xml:space="preserve">ban a legtöbb, öngondoskodást erősítő juttatás (pl. egészségpénztár, egészségbiztosítás, nyugdíjbiztosítás) bér módjára adózó juttatásként adható. Ennél valamivel kedvezőbb a SZÉP kártya és a 35 éves korig (rendvédelmi dolgozóknak korhatár nélkül) adható lakhatási támogatás adóterhe (28%, SZJA+szociális hozzájárulási adó). </w:t>
      </w:r>
      <w:r>
        <w:t xml:space="preserve"> </w:t>
      </w:r>
    </w:p>
    <w:p w14:paraId="2426C360" w14:textId="77777777" w:rsidR="003574D2" w:rsidRDefault="00AA0758">
      <w:pPr>
        <w:spacing w:after="813"/>
        <w:ind w:left="-5" w:right="0"/>
      </w:pPr>
      <w:r>
        <w:t>Mivel csekély értékű ajándék évente legfeljebb háromszor, a minimálbér 10%-nak mértékéig adható, 33,04%-os adóteher</w:t>
      </w:r>
      <w:r>
        <w:rPr>
          <w:vertAlign w:val="superscript"/>
        </w:rPr>
        <w:footnoteReference w:id="4"/>
      </w:r>
      <w:r>
        <w:t xml:space="preserve"> </w:t>
      </w:r>
      <w:r>
        <w:t>mellett, a korábban népszerű karácsonyi vagy iskolakezdési juttatások mára ebbe a kategóriába szorultak vissza.</w:t>
      </w:r>
      <w:r>
        <w:t xml:space="preserve"> </w:t>
      </w:r>
    </w:p>
    <w:p w14:paraId="7E21FBF5" w14:textId="77777777" w:rsidR="003574D2" w:rsidRDefault="00AA0758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0FD71827" wp14:editId="49C63DB9">
                <wp:extent cx="1829054" cy="7620"/>
                <wp:effectExtent l="0" t="0" r="0" b="0"/>
                <wp:docPr id="30941" name="Group 309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7620"/>
                          <a:chOff x="0" y="0"/>
                          <a:chExt cx="1829054" cy="7620"/>
                        </a:xfrm>
                      </wpg:grpSpPr>
                      <wps:wsp>
                        <wps:cNvPr id="36330" name="Shape 36330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941" style="width:144.02pt;height:0.600037pt;mso-position-horizontal-relative:char;mso-position-vertical-relative:line" coordsize="18290,76">
                <v:shape id="Shape 36331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Calibri" w:eastAsia="Calibri" w:hAnsi="Calibri" w:cs="Calibri"/>
        </w:rPr>
        <w:t xml:space="preserve"> </w:t>
      </w:r>
    </w:p>
    <w:p w14:paraId="78CBEE25" w14:textId="77777777" w:rsidR="003574D2" w:rsidRDefault="00AA0758">
      <w:pPr>
        <w:spacing w:after="242"/>
        <w:ind w:left="-5" w:right="0"/>
      </w:pPr>
      <w:r>
        <w:t xml:space="preserve">2026-ban az egyetlen, a minimálbér erejéig 0%-os adóval adható juttatás a kulturális és sportbelépő. </w:t>
      </w:r>
      <w:r>
        <w:t xml:space="preserve"> </w:t>
      </w:r>
    </w:p>
    <w:p w14:paraId="427C034B" w14:textId="77777777" w:rsidR="003574D2" w:rsidRDefault="00AA0758">
      <w:pPr>
        <w:pStyle w:val="Cmsor2"/>
        <w:ind w:left="-5"/>
      </w:pPr>
      <w:bookmarkStart w:id="18" w:name="_Toc35615"/>
      <w:r>
        <w:t>Egészségügy és szociális ellátás</w:t>
      </w:r>
      <w:r>
        <w:t xml:space="preserve"> </w:t>
      </w:r>
      <w:bookmarkEnd w:id="18"/>
    </w:p>
    <w:p w14:paraId="2A9725D8" w14:textId="77777777" w:rsidR="003574D2" w:rsidRDefault="00AA0758">
      <w:pPr>
        <w:spacing w:after="206"/>
        <w:ind w:left="-5" w:right="0"/>
      </w:pPr>
      <w:r>
        <w:t>Az állam általában az egészségügyi és szociális hálón keresztül is igyekszik tehermentesíteni a munkavállalókat, hogy a családi kötelezettségek (betegség, gyermeknevelés, idősellátás) mellett is jelen tudjanak maradni a munkaerőpiacon.</w:t>
      </w:r>
      <w:r>
        <w:t xml:space="preserve"> </w:t>
      </w:r>
    </w:p>
    <w:p w14:paraId="0393A1E5" w14:textId="77777777" w:rsidR="003574D2" w:rsidRDefault="00AA0758">
      <w:pPr>
        <w:pStyle w:val="Cmsor3"/>
        <w:ind w:left="-5"/>
      </w:pPr>
      <w:bookmarkStart w:id="19" w:name="_Toc35616"/>
      <w:r>
        <w:t>Az egészségügyi ellátás állapota és hozzáférhetősége</w:t>
      </w:r>
      <w:r>
        <w:t xml:space="preserve"> </w:t>
      </w:r>
      <w:bookmarkEnd w:id="19"/>
    </w:p>
    <w:p w14:paraId="51B67A2C" w14:textId="77777777" w:rsidR="003574D2" w:rsidRDefault="00AA0758">
      <w:pPr>
        <w:spacing w:after="208"/>
        <w:ind w:left="-5" w:right="0"/>
      </w:pPr>
      <w:r>
        <w:t>Az állami egészségügy kettős képet mutat: bár a hálózat országos és elvileg mindenki számára hozzáférhető, a szakemberhiány és a technikai felszereltség egyenetlensége miatt a várakozási idők bizonyos szakrendeléseken hosszúak lehetnek. A munka</w:t>
      </w:r>
      <w:r>
        <w:t>magánélet szempontjából kritikus pont a hozzáférhetőség ideje: a legtöbb állami rendelés munkaidőre esik, ami konfliktust szül a munkahellyel. Ezt az állam a digitális egészségügy (EESZT) fejlesztésével igyekszik orvosolni: a receptek távoli felírása, a leletek online elérhetősége és a telemedicina csökkentheti a kieső munkaórák számát.</w:t>
      </w:r>
      <w:r>
        <w:t xml:space="preserve"> </w:t>
      </w:r>
    </w:p>
    <w:p w14:paraId="6079DBB9" w14:textId="77777777" w:rsidR="003574D2" w:rsidRDefault="00AA0758">
      <w:pPr>
        <w:pStyle w:val="Cmsor3"/>
        <w:ind w:left="-5"/>
      </w:pPr>
      <w:bookmarkStart w:id="20" w:name="_Toc35617"/>
      <w:r>
        <w:t>Érvényes TAJ kártyával igénybe vehető szolgáltatások</w:t>
      </w:r>
      <w:r>
        <w:t xml:space="preserve"> </w:t>
      </w:r>
      <w:bookmarkEnd w:id="20"/>
    </w:p>
    <w:p w14:paraId="3DEF3E12" w14:textId="77777777" w:rsidR="003574D2" w:rsidRDefault="00AA0758">
      <w:pPr>
        <w:ind w:left="-5" w:right="0"/>
      </w:pPr>
      <w:r>
        <w:t>A társadalombiztosítási jogviszony (TAJ) alapvető biztonsági hálót nyújt, amely lehetővé teszi, hogy a betegség ne okozzon anyagi csődöt a családnak:</w:t>
      </w:r>
      <w:r>
        <w:t xml:space="preserve"> </w:t>
      </w:r>
    </w:p>
    <w:p w14:paraId="1E2D07AA" w14:textId="77777777" w:rsidR="003574D2" w:rsidRDefault="00AA0758">
      <w:pPr>
        <w:numPr>
          <w:ilvl w:val="0"/>
          <w:numId w:val="3"/>
        </w:numPr>
        <w:ind w:right="0" w:hanging="283"/>
      </w:pPr>
      <w:r>
        <w:rPr>
          <w:b/>
          <w:i/>
        </w:rPr>
        <w:t>Alap- és szakellátás</w:t>
      </w:r>
      <w:r>
        <w:t>: A háziorvosi rendszer és a legtöbb szakrendelés ingyenes.</w:t>
      </w:r>
      <w:r>
        <w:t xml:space="preserve"> </w:t>
      </w:r>
    </w:p>
    <w:p w14:paraId="408BD767" w14:textId="77777777" w:rsidR="003574D2" w:rsidRDefault="00AA0758">
      <w:pPr>
        <w:numPr>
          <w:ilvl w:val="0"/>
          <w:numId w:val="3"/>
        </w:numPr>
        <w:ind w:right="0" w:hanging="283"/>
      </w:pPr>
      <w:r>
        <w:rPr>
          <w:b/>
          <w:i/>
        </w:rPr>
        <w:t>Prevenció</w:t>
      </w:r>
      <w:r>
        <w:t>: A szűrővizsgálatokon való részvételt az állam munkajogi kedvezményekkel is támogatja (pl. bizonyos vizsgálatok idejére mentesülés a munkavégzés alól).</w:t>
      </w:r>
      <w:r>
        <w:t xml:space="preserve"> </w:t>
      </w:r>
    </w:p>
    <w:p w14:paraId="4FD371AB" w14:textId="77777777" w:rsidR="003574D2" w:rsidRDefault="00AA0758">
      <w:pPr>
        <w:numPr>
          <w:ilvl w:val="0"/>
          <w:numId w:val="3"/>
        </w:numPr>
        <w:spacing w:after="206"/>
        <w:ind w:right="0" w:hanging="283"/>
      </w:pPr>
      <w:r>
        <w:rPr>
          <w:b/>
          <w:i/>
        </w:rPr>
        <w:t>Pénzbeli ellátások</w:t>
      </w:r>
      <w:r>
        <w:t>: A táppénz, a baleseti táppénz és a gyermekápolási táppénz (GYÁP) a legfontosabb eszközök. A GYÁP közvetlenül a munka-magánélet összeegyeztetését szolgálja, hiszen lehetővé teszi a szülő számára a beteg gyermek otthoni ápolását a bér egy részének megtartása mellett.</w:t>
      </w:r>
      <w:r>
        <w:t xml:space="preserve"> </w:t>
      </w:r>
    </w:p>
    <w:p w14:paraId="7DBC927F" w14:textId="77777777" w:rsidR="003574D2" w:rsidRDefault="00AA0758">
      <w:pPr>
        <w:pStyle w:val="Cmsor3"/>
        <w:ind w:left="-5"/>
      </w:pPr>
      <w:bookmarkStart w:id="21" w:name="_Toc35618"/>
      <w:r>
        <w:t>Szociális ellátórendszer és szolgáltatások</w:t>
      </w:r>
      <w:r>
        <w:t xml:space="preserve"> </w:t>
      </w:r>
      <w:bookmarkEnd w:id="21"/>
    </w:p>
    <w:p w14:paraId="464D091F" w14:textId="77777777" w:rsidR="003574D2" w:rsidRDefault="00AA0758">
      <w:pPr>
        <w:ind w:left="-5" w:right="0"/>
      </w:pPr>
      <w:r>
        <w:t>A szociális háló ott kapcsolódik be, ahol az egészségügyi ellátás véget ér, és a család gondozási feladatai kezdődnek:</w:t>
      </w:r>
      <w:r>
        <w:t xml:space="preserve"> </w:t>
      </w:r>
    </w:p>
    <w:p w14:paraId="1463D530" w14:textId="77777777" w:rsidR="003574D2" w:rsidRDefault="00AA0758">
      <w:pPr>
        <w:numPr>
          <w:ilvl w:val="0"/>
          <w:numId w:val="4"/>
        </w:numPr>
        <w:ind w:right="0" w:hanging="427"/>
      </w:pPr>
      <w:r>
        <w:rPr>
          <w:b/>
          <w:i/>
        </w:rPr>
        <w:t>Gyermekek napközbeni ellátása</w:t>
      </w:r>
      <w:r>
        <w:rPr>
          <w:b/>
        </w:rPr>
        <w:t>:</w:t>
      </w:r>
      <w:r>
        <w:t xml:space="preserve"> </w:t>
      </w:r>
      <w:r>
        <w:t>A bölcsődei és óvodai férőhelyek bővítése az állam elsődleges eszköze a szülők munkába való visszatérésének segítésére.</w:t>
      </w:r>
      <w:r>
        <w:t xml:space="preserve"> </w:t>
      </w:r>
    </w:p>
    <w:p w14:paraId="54F64DA1" w14:textId="77777777" w:rsidR="003574D2" w:rsidRDefault="00AA0758">
      <w:pPr>
        <w:numPr>
          <w:ilvl w:val="0"/>
          <w:numId w:val="4"/>
        </w:numPr>
        <w:ind w:right="0" w:hanging="427"/>
      </w:pPr>
      <w:r>
        <w:rPr>
          <w:b/>
          <w:i/>
        </w:rPr>
        <w:t>Idősgondozás és házi segítségnyújtás</w:t>
      </w:r>
      <w:r>
        <w:rPr>
          <w:b/>
        </w:rPr>
        <w:t>:</w:t>
      </w:r>
      <w:r>
        <w:t xml:space="preserve"> A gyermekeiket és idős szüleiket egyszerre gondozó, ún. „szendvics-generáció” számára a nappali ellátóhelyek és a házi segítségnyújtás nyújtanak érdemi segítséget, hogy ne kényszerüljenek a munkahelyük feladására.</w:t>
      </w:r>
      <w:r>
        <w:t xml:space="preserve"> </w:t>
      </w:r>
    </w:p>
    <w:p w14:paraId="080D065D" w14:textId="77777777" w:rsidR="003574D2" w:rsidRDefault="00AA0758">
      <w:pPr>
        <w:numPr>
          <w:ilvl w:val="0"/>
          <w:numId w:val="4"/>
        </w:numPr>
        <w:ind w:right="0" w:hanging="427"/>
      </w:pPr>
      <w:r>
        <w:rPr>
          <w:b/>
          <w:i/>
        </w:rPr>
        <w:t>Speciális támogatások</w:t>
      </w:r>
      <w:r>
        <w:rPr>
          <w:b/>
        </w:rPr>
        <w:t>:</w:t>
      </w:r>
      <w:r>
        <w:t xml:space="preserve"> A 2026-</w:t>
      </w:r>
      <w:r>
        <w:t>ban érvényes GYOD (Gyermekek otthongondozási díja) a tartósan beteg vagy fogyatékossággal élő családtagot gondozók anyagi elismerését szolgálja, elismerve ezt munkaként.</w:t>
      </w:r>
      <w:r>
        <w:t xml:space="preserve"> </w:t>
      </w:r>
    </w:p>
    <w:p w14:paraId="76B9CE56" w14:textId="77777777" w:rsidR="003574D2" w:rsidRDefault="00AA0758">
      <w:pPr>
        <w:ind w:left="-5" w:right="0"/>
      </w:pPr>
      <w:r>
        <w:lastRenderedPageBreak/>
        <w:t>Az állami stratégia központjában a rugalmasság növelése áll. A pénzbeli juttatások (GYED, GYES, táppénz) mellett a szolgáltatások digitalizációjával és az ellátórendszer (bölcsődék, idősotthonok) fejlesztésével próbálják csökkenteni a munkavállalókra nehezedő gondozási terheket. Ugyanakkor a rendszer hatékonysága továbbra is nagyban függ a földrajzi elhelyezkedéstől és az adott intézmény leterheltségétől.</w:t>
      </w:r>
      <w:r>
        <w:t xml:space="preserve"> </w:t>
      </w:r>
      <w:r>
        <w:br w:type="page"/>
      </w:r>
    </w:p>
    <w:p w14:paraId="512DAE0E" w14:textId="77777777" w:rsidR="003574D2" w:rsidRDefault="00AA0758">
      <w:pPr>
        <w:pStyle w:val="Cmsor1"/>
        <w:numPr>
          <w:ilvl w:val="0"/>
          <w:numId w:val="0"/>
        </w:numPr>
        <w:spacing w:after="155"/>
        <w:ind w:left="-5" w:right="0"/>
      </w:pPr>
      <w:bookmarkStart w:id="22" w:name="_Toc35619"/>
      <w:r>
        <w:lastRenderedPageBreak/>
        <w:t>MIT ADHAT A MUNKÁLTATÓ</w:t>
      </w:r>
      <w:r>
        <w:t xml:space="preserve"> </w:t>
      </w:r>
      <w:bookmarkEnd w:id="22"/>
    </w:p>
    <w:p w14:paraId="607B2FD1" w14:textId="77777777" w:rsidR="003574D2" w:rsidRDefault="00AA0758">
      <w:pPr>
        <w:pStyle w:val="Cmsor2"/>
        <w:ind w:left="-5"/>
      </w:pPr>
      <w:bookmarkStart w:id="23" w:name="_Toc35620"/>
      <w:r>
        <w:t>Nemzetközi jó példák</w:t>
      </w:r>
      <w:r>
        <w:t xml:space="preserve"> </w:t>
      </w:r>
      <w:bookmarkEnd w:id="23"/>
    </w:p>
    <w:p w14:paraId="70E651DE" w14:textId="77777777" w:rsidR="003574D2" w:rsidRDefault="00AA0758">
      <w:pPr>
        <w:ind w:left="-5" w:right="0"/>
      </w:pPr>
      <w:r>
        <w:t>A munka és magánélet összeegyeztetésének támogatásában a legsikeresebb munkáltatók nem egyetlen intézkedésre építenek, hanem komplex jólléti programokat működtetnek. A kutatások és vállalati példák alapján a leghatékonyabb programok a rugalmas munkavégzést, a pszichológiai támogatást és a támogató vezetői kultúrát egyszerre fejlesztik. Az alábbi példák a mentális egészség, a rugalmasság és a családbarát foglalkoztatás területén emelhetők ki.</w:t>
      </w:r>
      <w:r>
        <w:t xml:space="preserve"> </w:t>
      </w:r>
    </w:p>
    <w:p w14:paraId="4EDFB5E5" w14:textId="77777777" w:rsidR="003574D2" w:rsidRDefault="00AA0758">
      <w:pPr>
        <w:spacing w:after="209"/>
        <w:ind w:left="-5" w:right="0"/>
      </w:pPr>
      <w:r>
        <w:t>A következő jó példákban, a teljesség igénye nélkül, olyan nemzetközi nagyvállalatok gyakorlatait mutatjuk be, amelyek komplexen értelmezik a munka és magánélet egyensúlyát. A munkáltatók egy része az elmúlt években előkelő helyezést ért el a nemzetközi Legjobb Munkahely díjon és a WHO Egészséges Munkahely díjazásában is.</w:t>
      </w:r>
      <w:r>
        <w:t xml:space="preserve"> </w:t>
      </w:r>
    </w:p>
    <w:p w14:paraId="775202F5" w14:textId="77777777" w:rsidR="003574D2" w:rsidRDefault="00AA0758">
      <w:pPr>
        <w:pStyle w:val="Cmsor3"/>
        <w:ind w:left="-5"/>
      </w:pPr>
      <w:bookmarkStart w:id="24" w:name="_Toc35621"/>
      <w:r>
        <w:t>Microsoft</w:t>
      </w:r>
      <w:r>
        <w:t xml:space="preserve"> </w:t>
      </w:r>
      <w:bookmarkEnd w:id="24"/>
    </w:p>
    <w:p w14:paraId="20485902" w14:textId="77777777" w:rsidR="003574D2" w:rsidRDefault="00AA0758">
      <w:pPr>
        <w:spacing w:after="206"/>
        <w:ind w:left="-5" w:right="0"/>
      </w:pPr>
      <w:r>
        <w:t xml:space="preserve">A Microsoft fő tevékenységi területe az információs technológia, szoftverfejlesztés, felhőalapú szolgáltatások és a szórakoztató elektronika. A cég </w:t>
      </w:r>
      <w:r>
        <w:t xml:space="preserve">a munkavállalói jóllétet a vállalati kultúra részének tekinti. A vállalat hangsúlyozza, hogy a teljesítmény alapja a fizikai, mentális és érzelmi jóllét. </w:t>
      </w:r>
      <w:r>
        <w:rPr>
          <w:i/>
        </w:rPr>
        <w:t>„…Régióktól és beosztásoktól függetlenül a munkatársakat olyan juttatásokkal támogatjuk, amelyek tükrözik a legfontosabbakat: a jólétet, a rugalmasságot és a fejlődést. Nagylelkű szabadságokat, szülői szabadságot, jóléti programokat és teljesítményalapú javadalmazást kínálunk…</w:t>
      </w:r>
      <w:r>
        <w:t xml:space="preserve">” írja a cég honlapján (microsoft.com, é.n.). A cég a munka és magánélet összeegyeztetésének támogatásához rugalmas munkavégzési lehetőségeket, hibrid munkarendet, bőkezű szülői szabadságot, mentális egészséget támogató programokat, coachingot és mentorálást biztosít. </w:t>
      </w:r>
      <w:r>
        <w:t xml:space="preserve"> </w:t>
      </w:r>
    </w:p>
    <w:p w14:paraId="128B59B3" w14:textId="77777777" w:rsidR="003574D2" w:rsidRDefault="00AA0758">
      <w:pPr>
        <w:pStyle w:val="Cmsor3"/>
        <w:ind w:left="-5"/>
      </w:pPr>
      <w:bookmarkStart w:id="25" w:name="_Toc35622"/>
      <w:r>
        <w:t>Allianz</w:t>
      </w:r>
      <w:r>
        <w:t xml:space="preserve"> </w:t>
      </w:r>
      <w:bookmarkEnd w:id="25"/>
    </w:p>
    <w:p w14:paraId="06FCF5CF" w14:textId="77777777" w:rsidR="003574D2" w:rsidRDefault="00AA0758">
      <w:pPr>
        <w:ind w:left="-5" w:right="0"/>
      </w:pPr>
      <w:r>
        <w:t xml:space="preserve">Az Allianz tevékenységei a biztosítás, az alapkezelés, valamint a pénzügyi és vagyonkezelési szolgáltatások. A cég globális juttatási rendszerének egyik pillére a munka és magánélet egyensúlya. A rugalmas munkavégzés mellett támogatják a szülési szabadságról való visszatérést, valamint külön programokat működtetnek a mentális és fizikai egészség és az egészség és munka egyensúly megőrzésére (allianz.com, é.n.). </w:t>
      </w:r>
      <w:r>
        <w:t>A dolgozók számára ezekben a témákban beszélgetések, webes szemináriumok, ötlettárak, egészségtippek, mentális elsősegély képzés érhetőek el a honlapon, de csatlakozni tudnak a céges „</w:t>
      </w:r>
      <w:r>
        <w:rPr>
          <w:i/>
        </w:rPr>
        <w:t>mindfulness</w:t>
      </w:r>
      <w:r>
        <w:t xml:space="preserve">” mozgalomhoz is. A cég a vezetők számára a mentális megőrzés témájában külön képzést működtet, pszichológiai támogató forróvonalat tart fenn. A jólléti eszközök, mint a </w:t>
      </w:r>
      <w:r>
        <w:rPr>
          <w:i/>
        </w:rPr>
        <w:t>Microsoft Viva Insights</w:t>
      </w:r>
      <w:r>
        <w:t xml:space="preserve"> </w:t>
      </w:r>
      <w:r>
        <w:t>szoftvere segítenek a jó szokások mindennapokba illesztésében, így a jóllét a teljesítményben is érezhetővé válik. A munkáltató emellett magán egészségbiztosítással és prevenciós és szűrő programokkal és sportolási lehetőségekkel is támogatja a dolgozókat.</w:t>
      </w:r>
      <w:r>
        <w:t xml:space="preserve"> </w:t>
      </w:r>
    </w:p>
    <w:p w14:paraId="316EA825" w14:textId="77777777" w:rsidR="003574D2" w:rsidRDefault="00AA0758">
      <w:pPr>
        <w:pStyle w:val="Cmsor3"/>
        <w:ind w:left="-5"/>
      </w:pPr>
      <w:bookmarkStart w:id="26" w:name="_Toc35623"/>
      <w:r>
        <w:lastRenderedPageBreak/>
        <w:t>GSK</w:t>
      </w:r>
      <w:r>
        <w:t xml:space="preserve"> </w:t>
      </w:r>
      <w:bookmarkEnd w:id="26"/>
    </w:p>
    <w:p w14:paraId="7D3551C7" w14:textId="77777777" w:rsidR="003574D2" w:rsidRDefault="00AA0758">
      <w:pPr>
        <w:spacing w:after="206"/>
        <w:ind w:left="-5" w:right="0"/>
      </w:pPr>
      <w:r>
        <w:t xml:space="preserve">A GSK (korábbi nevén </w:t>
      </w:r>
      <w:r>
        <w:rPr>
          <w:i/>
        </w:rPr>
        <w:t>GlaxoSmithKline</w:t>
      </w:r>
      <w:r>
        <w:t xml:space="preserve">) egy brit központú, globális biogyógyszerészeti vállalat, amely innovatív gyógyszerek és védőoltások kutatásával, fejlesztésével és gyártásával foglalkozik. A gyógyszeripari vállalat </w:t>
      </w:r>
      <w:r>
        <w:t>nyíltan foglalkozik a mentális egészséggel (gsk.com, é.n.). Vezetői képzéseket, coachingot és rugalmas, „</w:t>
      </w:r>
      <w:r>
        <w:rPr>
          <w:i/>
        </w:rPr>
        <w:t>életbarát</w:t>
      </w:r>
      <w:r>
        <w:t xml:space="preserve">” munkaszervezést alkalmaz. A mentális egészségről való nyílt párbeszédet a vállalati kultúra részének tekintik. </w:t>
      </w:r>
      <w:r>
        <w:t xml:space="preserve"> </w:t>
      </w:r>
    </w:p>
    <w:p w14:paraId="018F444B" w14:textId="77777777" w:rsidR="003574D2" w:rsidRDefault="00AA0758">
      <w:pPr>
        <w:pStyle w:val="Cmsor3"/>
        <w:ind w:left="-5"/>
      </w:pPr>
      <w:bookmarkStart w:id="27" w:name="_Toc35624"/>
      <w:r>
        <w:t>Unit4</w:t>
      </w:r>
      <w:r>
        <w:t xml:space="preserve"> </w:t>
      </w:r>
      <w:bookmarkEnd w:id="27"/>
    </w:p>
    <w:p w14:paraId="703BB49B" w14:textId="77777777" w:rsidR="003574D2" w:rsidRDefault="00AA0758">
      <w:pPr>
        <w:spacing w:after="206"/>
        <w:ind w:left="-5" w:right="0"/>
      </w:pPr>
      <w:r>
        <w:t>A Unit4 egy globális szoftvervállalat, amely felhőalapú vállalatirányítási rendszerek, valamint pénzügyi és humánerőforrás-kezelő szoftverek fejlesztésével és értékesítésével foglalkozik. A cég szerint „</w:t>
      </w:r>
      <w:r>
        <w:rPr>
          <w:i/>
        </w:rPr>
        <w:t xml:space="preserve">a munka nem csupán arról szól, hogy mit </w:t>
      </w:r>
      <w:r>
        <w:rPr>
          <w:i/>
        </w:rPr>
        <w:t>csinálsz, hanem arról is, hogy közben hogyan érzed magad</w:t>
      </w:r>
      <w:r>
        <w:t>”. A Unit4 „</w:t>
      </w:r>
      <w:r>
        <w:rPr>
          <w:i/>
        </w:rPr>
        <w:t>Fusion</w:t>
      </w:r>
      <w:r>
        <w:t>” nevű programja a munka-magánélet integrációjára épül. A munkatársak maguk választhatják meg a munkavégzés helyét, emellett egy munkavállalói asszisztencia digitális alkalmazásban is segítséget kapnak (unit4.com, é.n.). Az országonként eltérő, rugalmas juttatási programok az egészségügyi ellátás, a gyermekgondozás és a technológia területén kínálnak támogatást. A cég évente négy vállalati szintű „</w:t>
      </w:r>
      <w:r>
        <w:rPr>
          <w:i/>
        </w:rPr>
        <w:t>jóllétnap</w:t>
      </w:r>
      <w:r>
        <w:t>”-</w:t>
      </w:r>
      <w:r>
        <w:t>ot tart, hozzáférést biztosít a tudatosság- és mentális egészség támogatásához használható, „</w:t>
      </w:r>
      <w:r>
        <w:rPr>
          <w:i/>
        </w:rPr>
        <w:t>Headspace”</w:t>
      </w:r>
      <w:r>
        <w:t xml:space="preserve"> nevű alkalmazáshoz. Az alkalmazás a stresszcsökkentés érdekében gyakorlatokat, vezetett meditációt tesz lehetővé és a jobb alvást támogató javaslatokat kínál. A dolgozóknak a „</w:t>
      </w:r>
      <w:r>
        <w:rPr>
          <w:i/>
        </w:rPr>
        <w:t>Maven Clinic”</w:t>
      </w:r>
      <w:r>
        <w:rPr>
          <w:i/>
          <w:vertAlign w:val="superscript"/>
        </w:rPr>
        <w:footnoteReference w:id="5"/>
      </w:r>
      <w:r>
        <w:t xml:space="preserve"> szolgáltatás keretében ingyenes, éjjel-</w:t>
      </w:r>
      <w:r>
        <w:t xml:space="preserve">nappal elérhető speciális virtuális ellátás, megbízható források és egyéb szolgáltatások állnak rendelkezésére, amelyek elsősorban a reproduktív egészségre, a szülői szerepre és a család egészségére összpontosítanak. </w:t>
      </w:r>
      <w:r>
        <w:t xml:space="preserve"> </w:t>
      </w:r>
    </w:p>
    <w:p w14:paraId="3D8C8377" w14:textId="77777777" w:rsidR="003574D2" w:rsidRDefault="00AA0758">
      <w:pPr>
        <w:pStyle w:val="Cmsor3"/>
        <w:ind w:left="-5"/>
      </w:pPr>
      <w:bookmarkStart w:id="28" w:name="_Toc35625"/>
      <w:r>
        <w:t>Experian</w:t>
      </w:r>
      <w:r>
        <w:t xml:space="preserve"> </w:t>
      </w:r>
      <w:bookmarkEnd w:id="28"/>
    </w:p>
    <w:p w14:paraId="529C337D" w14:textId="77777777" w:rsidR="003574D2" w:rsidRDefault="00AA0758">
      <w:pPr>
        <w:spacing w:after="207"/>
        <w:ind w:left="-5" w:right="0"/>
      </w:pPr>
      <w:r>
        <w:t>Az Experian egy globális adat- és technológiai vállalat, a világ egyik legnagyobb hitelminősítő és fogyasztói hiteljelentési ügynöksége. A cég vállalati kultúrája szerint az ember az első. „</w:t>
      </w:r>
      <w:r>
        <w:rPr>
          <w:i/>
        </w:rPr>
        <w:t>Olyan vállalati kultúrát építünk, ahol mindenki nyugodtan hozhatja magával teljes személyiségét a munkahelyre. Olyan helyet, ahol nem csupán tiszteletben tartjuk egymás különbözőségeit és értékeit, hanem pozitív és támogató légkörben ünnepeljük is azokat…</w:t>
      </w:r>
      <w:r>
        <w:t xml:space="preserve">” (experian.com, é.n.). A cég a hibrid munkavégzés mellett négy pillérre építi jólléti rendszerét, ezek: mentális, fizikai, szociális és pénzügyi egészség. A munkatársak munkaidejük és munkavégzési helyük alakításában is nagyfokú autonómiát kapnak. </w:t>
      </w:r>
      <w:r>
        <w:t xml:space="preserve"> </w:t>
      </w:r>
    </w:p>
    <w:p w14:paraId="4D701249" w14:textId="77777777" w:rsidR="003574D2" w:rsidRDefault="00AA0758">
      <w:pPr>
        <w:pStyle w:val="Cmsor3"/>
        <w:ind w:left="-5"/>
      </w:pPr>
      <w:bookmarkStart w:id="29" w:name="_Toc35626"/>
      <w:r>
        <w:t>T-</w:t>
      </w:r>
      <w:r>
        <w:t>Systems</w:t>
      </w:r>
      <w:r>
        <w:t xml:space="preserve"> </w:t>
      </w:r>
      <w:bookmarkEnd w:id="29"/>
    </w:p>
    <w:p w14:paraId="5F7A461F" w14:textId="77777777" w:rsidR="003574D2" w:rsidRDefault="00AA0758">
      <w:pPr>
        <w:spacing w:after="134"/>
        <w:ind w:left="-5" w:right="0"/>
      </w:pPr>
      <w:r>
        <w:t>A Magyar Telekom részeként működő T-Systems elsősorban közép- és nagyvállalatok, valamint intézmények számára nyújt komplex infokommunikációs, valamint informatikai megoldásokat. A cég oldalán is külön munka-magánélet aloldalt működtet, itt mutatja be ügyfelei és (leendő) munkavállalói számára jó gyakorlatait (t-</w:t>
      </w:r>
    </w:p>
    <w:p w14:paraId="70E0F7AA" w14:textId="77777777" w:rsidR="003574D2" w:rsidRDefault="00AA0758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553ACCD4" wp14:editId="4BD0CD10">
                <wp:extent cx="1829054" cy="7620"/>
                <wp:effectExtent l="0" t="0" r="0" b="0"/>
                <wp:docPr id="31587" name="Group 315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7620"/>
                          <a:chOff x="0" y="0"/>
                          <a:chExt cx="1829054" cy="7620"/>
                        </a:xfrm>
                      </wpg:grpSpPr>
                      <wps:wsp>
                        <wps:cNvPr id="36332" name="Shape 36332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587" style="width:144.02pt;height:0.600037pt;mso-position-horizontal-relative:char;mso-position-vertical-relative:line" coordsize="18290,76">
                <v:shape id="Shape 36333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Calibri" w:eastAsia="Calibri" w:hAnsi="Calibri" w:cs="Calibri"/>
        </w:rPr>
        <w:t xml:space="preserve"> </w:t>
      </w:r>
    </w:p>
    <w:p w14:paraId="018A1DE3" w14:textId="77777777" w:rsidR="003574D2" w:rsidRDefault="00AA0758">
      <w:pPr>
        <w:spacing w:after="242"/>
        <w:ind w:left="-5" w:right="0"/>
      </w:pPr>
      <w:r>
        <w:t xml:space="preserve">systems.com, é.n.). A cég a rugalmas munkaidőt és a hibrid munkavégzést a munkavállalói jóllét alapfeltételének tekinti. A hangsúly a bizalmon, az önálló időgazdálkodáson és a családi kötelezettségekhez igazodó munkaszervezésen van. </w:t>
      </w:r>
      <w:r>
        <w:t xml:space="preserve"> </w:t>
      </w:r>
    </w:p>
    <w:p w14:paraId="2AA93AF3" w14:textId="77777777" w:rsidR="003574D2" w:rsidRDefault="00AA0758">
      <w:pPr>
        <w:pStyle w:val="Cmsor2"/>
        <w:ind w:left="-5"/>
      </w:pPr>
      <w:bookmarkStart w:id="30" w:name="_Toc35627"/>
      <w:r>
        <w:t>A fővárosi cégek jó gyakorlatai</w:t>
      </w:r>
      <w:r>
        <w:t xml:space="preserve"> </w:t>
      </w:r>
      <w:bookmarkEnd w:id="30"/>
    </w:p>
    <w:p w14:paraId="39473992" w14:textId="77777777" w:rsidR="003574D2" w:rsidRDefault="00AA0758">
      <w:pPr>
        <w:ind w:left="-5" w:right="0"/>
      </w:pPr>
      <w:r>
        <w:t xml:space="preserve">A fenti jó példák számos hazai cégnél is megjelennek, részben az anyavállalattól öröklött szervezeti kultúra részeként, részben a korábbi, 90-es évek előttről hozott, gondoskodó típusú hazai vállalati kultúra modernkori következményeként. </w:t>
      </w:r>
      <w:r>
        <w:t xml:space="preserve"> </w:t>
      </w:r>
    </w:p>
    <w:p w14:paraId="7C786B57" w14:textId="77777777" w:rsidR="003574D2" w:rsidRDefault="00AA0758">
      <w:pPr>
        <w:ind w:left="-5" w:right="0"/>
      </w:pPr>
      <w:r>
        <w:t>A Főváros nagy közszolgáltató vállalatai – köztük a Közút, a BKM, a BKV és a BMSZKI – több olyan gyakorlatot alkalmaznak, amelyek jó példaként szolgálhatnak más munkáltatók számára is.</w:t>
      </w:r>
      <w:r>
        <w:t xml:space="preserve"> </w:t>
      </w:r>
    </w:p>
    <w:p w14:paraId="32BAF446" w14:textId="77777777" w:rsidR="003574D2" w:rsidRDefault="00AA0758">
      <w:pPr>
        <w:ind w:left="-5" w:right="0"/>
      </w:pPr>
      <w:r>
        <w:t>Az említett szervezeteknél a leggyakoribb támogatási forma a rugalmas munkaszervezés. A szellemi munkakörökben több helyen lehetőség van részmunkaidőre, rugalmas munkaidőre, illetve rendszeres otthoni munkavégzésre. A BKV például havi 12 home office napot biztosít egyes munkakörökben, míg a Közútnál heti két nap távmunkára van lehetőség. A BMSZKI tapasztalatai szerint a részmunkaidős állások és a munkakörök közötti könnyebb átjárhatóság különösen segíti a kisgyermekes munkavállalókat.</w:t>
      </w:r>
      <w:r>
        <w:t xml:space="preserve"> </w:t>
      </w:r>
    </w:p>
    <w:p w14:paraId="4939EB15" w14:textId="77777777" w:rsidR="003574D2" w:rsidRDefault="00AA0758">
      <w:pPr>
        <w:ind w:left="-5" w:right="0"/>
      </w:pPr>
      <w:r>
        <w:t>Az egészségmegőrzés területén szintén találhatók előremutató megoldások. A Közútnál üzemorvosi, fogászati és mentálhigiénés szolgáltatások érhetők el, emellett egészségügyi témájú előadások és feldolgozó beszélgetések is támogatják a dolgozókat. A BKV szűrőprogramokat, jogsegélyszolgálatot, sport- és üdülési kedvezményeket kínál. A BMSZKI-ban a rendszeres szupervízió segíti a mentálisan megterhelő munkát végző kollégákat.</w:t>
      </w:r>
      <w:r>
        <w:t xml:space="preserve"> </w:t>
      </w:r>
    </w:p>
    <w:p w14:paraId="4DFC73AC" w14:textId="77777777" w:rsidR="003574D2" w:rsidRDefault="00AA0758">
      <w:pPr>
        <w:ind w:left="-5" w:right="0"/>
      </w:pPr>
      <w:r>
        <w:t>A szervezeti kultúra fejlesztése szintén fontos elem. Több cégnél működnek képzések, workshopok, belső e-learning rendszerek, vezetőfejlesztési programok és munkatársi fórumok. A BKV stresszkezelő tréningeket szervez járművezetők számára, míg a BMSZKI nagy hangsúlyt fektet az empatikus vezetői működésre és a tanulási lehetőségekre.</w:t>
      </w:r>
      <w:r>
        <w:t xml:space="preserve"> </w:t>
      </w:r>
    </w:p>
    <w:p w14:paraId="68EE6EAA" w14:textId="77777777" w:rsidR="003574D2" w:rsidRDefault="00AA0758">
      <w:pPr>
        <w:ind w:left="-5" w:right="0"/>
      </w:pPr>
      <w:r>
        <w:t>A fővárosi cégek példái azt mutatják, hogy a mentálhigiénés támogatás nem egyetlen programot jelent, hanem a rugalmas foglalkoztatás, az egészségmegőrzés és a támogató szervezeti kultúra tudatos kombinációját.</w:t>
      </w:r>
      <w:r>
        <w:t xml:space="preserve"> </w:t>
      </w:r>
    </w:p>
    <w:p w14:paraId="1E186027" w14:textId="77777777" w:rsidR="003574D2" w:rsidRDefault="00AA0758">
      <w:pPr>
        <w:spacing w:after="242"/>
        <w:ind w:left="-5" w:right="0"/>
      </w:pPr>
      <w:r>
        <w:t xml:space="preserve">A fővárosi cégeknél megjelenő gyakorlatok jól illeszkednek a nemzetközi trendekhez, amelyek szerint a dolgozók mentális jóllétének támogatása ma már nem csupán egészségügyi kérdés, hanem a szervezeti működés és a munkaerő-megtartás egyik kulcstényezője. </w:t>
      </w:r>
      <w:r>
        <w:t xml:space="preserve"> </w:t>
      </w:r>
    </w:p>
    <w:p w14:paraId="282D7D54" w14:textId="77777777" w:rsidR="003574D2" w:rsidRDefault="00AA0758">
      <w:pPr>
        <w:pStyle w:val="Cmsor2"/>
        <w:ind w:left="-5"/>
      </w:pPr>
      <w:bookmarkStart w:id="31" w:name="_Toc35628"/>
      <w:r>
        <w:t>Mit tanulhatnak ebből a munkáltatók?</w:t>
      </w:r>
      <w:r>
        <w:t xml:space="preserve"> </w:t>
      </w:r>
      <w:bookmarkEnd w:id="31"/>
    </w:p>
    <w:p w14:paraId="742DCC17" w14:textId="77777777" w:rsidR="003574D2" w:rsidRDefault="00AA0758">
      <w:pPr>
        <w:ind w:left="-5" w:right="0"/>
      </w:pPr>
      <w:r>
        <w:t>A nemzetközi jó gyakorlatok és a hazai tapasztalatok alapján egyaránt úgy tűnik, hogy a munka-magánélet területén a legeredményesebb intézkedéseket a következők jellemzik:</w:t>
      </w:r>
      <w:r>
        <w:t xml:space="preserve"> </w:t>
      </w:r>
    </w:p>
    <w:p w14:paraId="1BFB80A0" w14:textId="77777777" w:rsidR="003574D2" w:rsidRDefault="00AA0758">
      <w:pPr>
        <w:numPr>
          <w:ilvl w:val="0"/>
          <w:numId w:val="5"/>
        </w:numPr>
        <w:spacing w:after="62"/>
        <w:ind w:right="0" w:hanging="283"/>
      </w:pPr>
      <w:r>
        <w:rPr>
          <w:b/>
          <w:i/>
        </w:rPr>
        <w:lastRenderedPageBreak/>
        <w:t>Időt és teret adnak a dolgozóknak önmagára.</w:t>
      </w:r>
      <w:r>
        <w:t xml:space="preserve"> A MME területen erős munkáltatók a dolgozók állandó rendelkezésre állását elváró (ún. „mindig elérhető”) vállalati kultúra helyett az egészséges határok erősítésére </w:t>
      </w:r>
      <w:r>
        <w:t xml:space="preserve">törekszenek, amelynek része a rugalmas munkaidő és hibrid munkavégzés, illetve a részmunkaidős és élethelyzethez igazított foglalkoztatás. </w:t>
      </w:r>
      <w:r>
        <w:t xml:space="preserve"> </w:t>
      </w:r>
    </w:p>
    <w:p w14:paraId="1A822DC1" w14:textId="77777777" w:rsidR="003574D2" w:rsidRDefault="00AA0758">
      <w:pPr>
        <w:numPr>
          <w:ilvl w:val="0"/>
          <w:numId w:val="5"/>
        </w:numPr>
        <w:spacing w:after="59"/>
        <w:ind w:right="0" w:hanging="283"/>
      </w:pPr>
      <w:r>
        <w:rPr>
          <w:b/>
          <w:i/>
        </w:rPr>
        <w:t>Támogatják a mentális egészség megőrzését.</w:t>
      </w:r>
      <w:r>
        <w:t xml:space="preserve"> A mentális, fizikai, szociális és pénzügyi egészség megőrzése, amelynek a méltányos bérezés, egészséget és öngondoskodást is ösztönző juttatáscsomag és a vállalati szűrések, egészségnapok, mellett egyre fontosabb kiegészítői az eseti vagy rendszeres pszichológiai tanácsadás és a munkavállalói asszisztencia programok. A MME </w:t>
      </w:r>
      <w:r>
        <w:t>területen erős munkáltatók ebben különösen jók.</w:t>
      </w:r>
      <w:r>
        <w:t xml:space="preserve"> </w:t>
      </w:r>
    </w:p>
    <w:p w14:paraId="0F21FE5D" w14:textId="77777777" w:rsidR="003574D2" w:rsidRDefault="00AA0758">
      <w:pPr>
        <w:numPr>
          <w:ilvl w:val="0"/>
          <w:numId w:val="5"/>
        </w:numPr>
        <w:ind w:right="0" w:hanging="283"/>
      </w:pPr>
      <w:r>
        <w:rPr>
          <w:b/>
          <w:i/>
        </w:rPr>
        <w:t>Támogatják a munkahelyen kívüli szociális kapcsolatok megőrzését.</w:t>
      </w:r>
      <w:r>
        <w:t xml:space="preserve"> A szociális egészség megőrzése érdekében a legjobb munkahelyi közeg mellett is a legtöbb ember szükséglete, hogy barátaira, családjára, és a velük kapcsolatos kötelezettségekre, elfoglaltságokra megfelelő ideje és energiája legyen. A MME területen erős munkáltatók nem csak tudják és elfogadják ezt, de az idő biztosításán túl a szülői és gondozói szerepeket támogató speciális </w:t>
      </w:r>
      <w:r>
        <w:t>intézkedésekkel is segítik a szociális egészség fenntartását.</w:t>
      </w:r>
      <w:r>
        <w:t xml:space="preserve"> </w:t>
      </w:r>
    </w:p>
    <w:p w14:paraId="2627E092" w14:textId="77777777" w:rsidR="003574D2" w:rsidRDefault="00AA0758">
      <w:pPr>
        <w:ind w:left="-5" w:right="0"/>
      </w:pPr>
      <w:r>
        <w:t>Végül, de nem utolsó sorban: az elkötelezett tulajdonosi kör és felsővezetés mellett a munka-magánélet egyensúly napi szintű megvalósulásához nélkülözhetetlen a vezetők képzése arra, hogy az életbarát munkaszervezést, a dolgozó rugalmas időbeosztását, és a mentális egészség megőrzését hogyan tudják támogatni.</w:t>
      </w:r>
      <w:r>
        <w:t xml:space="preserve"> </w:t>
      </w:r>
    </w:p>
    <w:p w14:paraId="62DF1003" w14:textId="77777777" w:rsidR="003574D2" w:rsidRDefault="00AA0758">
      <w:pPr>
        <w:ind w:left="-5" w:right="0"/>
      </w:pPr>
      <w:r>
        <w:t>Tény ugyanakkor, hogy a cég profilja, az alkalmazott technológia, ügyfélszolgálat működése, a szolgáltatás típusa jelentősen meghatározza azokat a lehetőségeket, amiket a munkáltató a munka-magánélet egyensúly támogatásának érdekében alkalmazni tud.</w:t>
      </w:r>
      <w:r>
        <w:t xml:space="preserve"> </w:t>
      </w:r>
    </w:p>
    <w:p w14:paraId="22762E2A" w14:textId="77777777" w:rsidR="003574D2" w:rsidRDefault="00AA075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0BF7E54" w14:textId="77777777" w:rsidR="00A87D5F" w:rsidRDefault="00A87D5F">
      <w:pPr>
        <w:spacing w:after="160" w:line="278" w:lineRule="auto"/>
        <w:ind w:left="0" w:right="0" w:firstLine="0"/>
        <w:jc w:val="left"/>
        <w:rPr>
          <w:rFonts w:ascii="Calibri" w:eastAsia="Calibri" w:hAnsi="Calibri" w:cs="Calibri"/>
          <w:b/>
          <w:sz w:val="36"/>
        </w:rPr>
      </w:pPr>
      <w:bookmarkStart w:id="32" w:name="_Toc35629"/>
      <w:r>
        <w:br w:type="page"/>
      </w:r>
    </w:p>
    <w:p w14:paraId="2AD5CA64" w14:textId="1E97CDD1" w:rsidR="003574D2" w:rsidRDefault="00AA0758">
      <w:pPr>
        <w:pStyle w:val="Cmsor1"/>
        <w:numPr>
          <w:ilvl w:val="0"/>
          <w:numId w:val="0"/>
        </w:numPr>
        <w:ind w:left="-5" w:right="0"/>
      </w:pPr>
      <w:r>
        <w:lastRenderedPageBreak/>
        <w:t>ÚT A GYAKORLATI MEGVALÓSÍTÁSHOZ</w:t>
      </w:r>
      <w:r>
        <w:t xml:space="preserve"> </w:t>
      </w:r>
      <w:bookmarkEnd w:id="32"/>
    </w:p>
    <w:p w14:paraId="66C21C97" w14:textId="77777777" w:rsidR="003574D2" w:rsidRDefault="00AA0758">
      <w:pPr>
        <w:spacing w:after="242"/>
        <w:ind w:left="-5" w:right="0"/>
      </w:pPr>
      <w:r>
        <w:t xml:space="preserve">Ez a fejezet a fenti jó példák alapján azt igyekszik áttekinteni, hogy a MME </w:t>
      </w:r>
      <w:r>
        <w:t xml:space="preserve">három legfontosabb területén, az időgazdálkodás támogatásában, a mentális egészség megőrzésében, és a családi/gondozói szerep és munka összeegyeztetésében milyen lehetőségek, utak, tennivalók állnak azok előtt a munkáltatók előtt, amelyek a munkamagánélet összeegyeztetése terén szeretnének előre lépni.  </w:t>
      </w:r>
      <w:r>
        <w:t xml:space="preserve"> </w:t>
      </w:r>
    </w:p>
    <w:p w14:paraId="3FCFCAE3" w14:textId="77777777" w:rsidR="003574D2" w:rsidRDefault="00AA0758">
      <w:pPr>
        <w:pStyle w:val="Cmsor2"/>
        <w:spacing w:after="76"/>
        <w:ind w:left="-5"/>
      </w:pPr>
      <w:bookmarkStart w:id="33" w:name="_Toc35630"/>
      <w:r>
        <w:t>Időt és teret adni a dolgozónak önmagára</w:t>
      </w:r>
      <w:r>
        <w:t xml:space="preserve"> </w:t>
      </w:r>
      <w:bookmarkEnd w:id="33"/>
    </w:p>
    <w:p w14:paraId="21A72DE0" w14:textId="77777777" w:rsidR="003574D2" w:rsidRDefault="00AA0758">
      <w:pPr>
        <w:spacing w:after="129" w:line="268" w:lineRule="auto"/>
        <w:ind w:left="-5" w:right="0"/>
        <w:jc w:val="left"/>
      </w:pPr>
      <w:r>
        <w:rPr>
          <w:rFonts w:ascii="Calibri" w:eastAsia="Calibri" w:hAnsi="Calibri" w:cs="Calibri"/>
          <w:color w:val="595959"/>
          <w:sz w:val="28"/>
        </w:rPr>
        <w:t xml:space="preserve">Avagy: az „atipikus” foglalkoztatás, mint MME-eszköz </w:t>
      </w:r>
    </w:p>
    <w:p w14:paraId="2597A1D3" w14:textId="77777777" w:rsidR="003574D2" w:rsidRDefault="00AA0758">
      <w:pPr>
        <w:spacing w:after="206"/>
        <w:ind w:left="-5" w:right="0"/>
      </w:pPr>
      <w:r>
        <w:t>A modern munkaerőpiacon a fix irodai jelenlétre épülő modell egyre inkább veszít kizárólagosságából. Az „</w:t>
      </w:r>
      <w:r>
        <w:t xml:space="preserve">atipikus” foglalkoztatási formák olyan rugalmasságot kínálnak, amely lehetővé teszi a dolgozók számára, hogy ne a magánéletüket próbálják a munkájuk köré szervezni, hanem a munkát integrálják az életükbe. Az „atipikus” </w:t>
      </w:r>
      <w:r>
        <w:t>foglalkoztatási formákról ma Magyarországon szólva ugyanakkor meg kell jegyeznünk, hogy számos olyan, a fix, irodai munkavégzéstől eltérő forma létezik, amely világszerte atipikusnak minősül, nálunk ugyanakkor nem. A jogalkotók az Mt. módosításaival az elmúlt évtizedekben igyekeztek lekövetni az új foglalkoztatási formák gyakorlati megjelenését, így a legtöbb, széles körben atipikusnak nevezett forma mára jól szabályozott foglalkoztatástípus lett. Ezek közül jelen fejezet csak azokra tér ki, amelyeknek a mu</w:t>
      </w:r>
      <w:r>
        <w:t>nka</w:t>
      </w:r>
      <w:r>
        <w:t xml:space="preserve">-magánélet egyensúlya szempontjából különös jelentősége van. </w:t>
      </w:r>
      <w:r>
        <w:t xml:space="preserve"> </w:t>
      </w:r>
    </w:p>
    <w:p w14:paraId="4527DF03" w14:textId="77777777" w:rsidR="003574D2" w:rsidRDefault="00AA0758">
      <w:pPr>
        <w:pStyle w:val="Cmsor3"/>
        <w:ind w:left="-5"/>
      </w:pPr>
      <w:bookmarkStart w:id="34" w:name="_Toc35631"/>
      <w:r>
        <w:t>Munkaidőkeret</w:t>
      </w:r>
      <w:r>
        <w:t xml:space="preserve"> </w:t>
      </w:r>
      <w:bookmarkEnd w:id="34"/>
    </w:p>
    <w:p w14:paraId="25A35B3F" w14:textId="77777777" w:rsidR="003574D2" w:rsidRDefault="00AA0758">
      <w:pPr>
        <w:ind w:left="-5" w:right="0"/>
      </w:pPr>
      <w:r>
        <w:t>Ez a megoldás nem annyira az egyéni szabadságról, inkább a munkaerő-szükséglet hullámzásának kezeléséről szól, ugyanakkor számos más „atipikus” foglalkoztatási formához is alapul szolgálhat.</w:t>
      </w:r>
      <w:r>
        <w:t xml:space="preserve"> </w:t>
      </w:r>
    </w:p>
    <w:p w14:paraId="06F03B9C" w14:textId="77777777" w:rsidR="003574D2" w:rsidRDefault="00AA0758">
      <w:pPr>
        <w:numPr>
          <w:ilvl w:val="0"/>
          <w:numId w:val="6"/>
        </w:numPr>
        <w:ind w:right="0" w:hanging="283"/>
      </w:pPr>
      <w:r>
        <w:t xml:space="preserve">Micsoda? A munkáltató nem napi 8 órában számol, hanem egy hosszabb időszak alatt határozza meg az összes ledolgozandó órát. Intenzív időszakokban többet, uborkaszezonban kevesebbet kell dolgozni. </w:t>
      </w:r>
      <w:r>
        <w:t>Az Mt. szerint a leghosszabb munkaidőkeret három év lehet.</w:t>
      </w:r>
      <w:r>
        <w:t xml:space="preserve"> </w:t>
      </w:r>
    </w:p>
    <w:p w14:paraId="492B7A3B" w14:textId="77777777" w:rsidR="003574D2" w:rsidRDefault="00AA0758">
      <w:pPr>
        <w:numPr>
          <w:ilvl w:val="0"/>
          <w:numId w:val="6"/>
        </w:numPr>
        <w:ind w:right="0" w:hanging="283"/>
      </w:pPr>
      <w:r>
        <w:t>Miért jó? A munkáltató elkerülheti a túlóradíjak kifizetését és hatékonyabban igazodhat a megrendelésekhez. A munka és magánéletre mégis pozitív hatást gyakorol, hiszen a dolgozónak akkor biztosít több szabadidőt, amikor a munkaterhelés amúgy is alacsony. Olyan munkakörökben, ahol a terhelés változó, de a változás ritmusa jól kiszámítható, a MME jó eszköze lehet.</w:t>
      </w:r>
      <w:r>
        <w:t xml:space="preserve"> </w:t>
      </w:r>
    </w:p>
    <w:p w14:paraId="23FD09DE" w14:textId="77777777" w:rsidR="003574D2" w:rsidRDefault="00AA0758">
      <w:pPr>
        <w:numPr>
          <w:ilvl w:val="0"/>
          <w:numId w:val="6"/>
        </w:numPr>
        <w:spacing w:after="206"/>
        <w:ind w:right="0" w:hanging="283"/>
      </w:pPr>
      <w:r>
        <w:t>Hátránya, hogy ha olyan munkakörben alkalmazzák, ahol a terhelés ritmusa nem kiszámítható, a beosztás hirtelen változása kiszámíthatatlanabbá teheti a magánéleti programokat, így nagymértékben rontja a MME-t.</w:t>
      </w:r>
      <w:r>
        <w:t xml:space="preserve"> </w:t>
      </w:r>
    </w:p>
    <w:p w14:paraId="3D705AB9" w14:textId="77777777" w:rsidR="003574D2" w:rsidRDefault="00AA0758">
      <w:pPr>
        <w:pStyle w:val="Cmsor3"/>
        <w:ind w:left="-5"/>
      </w:pPr>
      <w:bookmarkStart w:id="35" w:name="_Toc35632"/>
      <w:r>
        <w:t>Távmunka és Home Office: hasonlóságok és különbségek</w:t>
      </w:r>
      <w:r>
        <w:t xml:space="preserve"> </w:t>
      </w:r>
      <w:bookmarkEnd w:id="35"/>
    </w:p>
    <w:p w14:paraId="1A553337" w14:textId="77777777" w:rsidR="003574D2" w:rsidRDefault="00AA0758">
      <w:pPr>
        <w:ind w:left="-5" w:right="0"/>
      </w:pPr>
      <w:r>
        <w:t>Bár a köznyelv gyakran szinonimaként használja őket, jogi és gyakorlati szempontból fontos különbséget tenni.</w:t>
      </w:r>
      <w:r>
        <w:t xml:space="preserve"> </w:t>
      </w:r>
    </w:p>
    <w:p w14:paraId="519A8DCF" w14:textId="77777777" w:rsidR="003574D2" w:rsidRDefault="00AA0758">
      <w:pPr>
        <w:numPr>
          <w:ilvl w:val="0"/>
          <w:numId w:val="7"/>
        </w:numPr>
        <w:ind w:right="0" w:hanging="283"/>
      </w:pPr>
      <w:r>
        <w:lastRenderedPageBreak/>
        <w:t>Micsoda? A home office (otthoni munkavégzés) általában eseti jellegű, a munkáltató engedélyéhez kötött, de a munkavállaló alapvetően az irodai állomány tagja. A távmunka egy állandó, szerződésben rögzített állapot, ahol a dolgozó a munkaideje jelentős részét vagy egészét az irodán kívül tölti.</w:t>
      </w:r>
      <w:r>
        <w:t xml:space="preserve"> </w:t>
      </w:r>
    </w:p>
    <w:p w14:paraId="313F2D52" w14:textId="77777777" w:rsidR="003574D2" w:rsidRDefault="00AA0758">
      <w:pPr>
        <w:numPr>
          <w:ilvl w:val="0"/>
          <w:numId w:val="7"/>
        </w:numPr>
        <w:ind w:right="0" w:hanging="283"/>
      </w:pPr>
      <w:r>
        <w:t>Hogyan alakítható ki? Szükséges egy stabil informatikai háttér (VPN, kollaborációs szoftverek) és a bizalmi alapú vezetés. Fontos a munkavédelmi oktatás és az otthoni munkakörnyezet megfelelőségének ellenőrzése.</w:t>
      </w:r>
      <w:r>
        <w:t xml:space="preserve"> </w:t>
      </w:r>
    </w:p>
    <w:p w14:paraId="5FBA6493" w14:textId="77777777" w:rsidR="003574D2" w:rsidRDefault="00AA0758">
      <w:pPr>
        <w:numPr>
          <w:ilvl w:val="0"/>
          <w:numId w:val="7"/>
        </w:numPr>
        <w:ind w:right="0" w:hanging="283"/>
      </w:pPr>
      <w:r>
        <w:t>Miért jó? A dolgozónak megspórolja az utazási időt és költséget, csökkenti a stresszt, és lehetővé teszi a családi logisztika egyszerűbb kezelését. A munkáltatónak csökkennek a rezsiköltségei és az irodabérleti díjai, miközben a munkavállalói elégedettség nő.</w:t>
      </w:r>
      <w:r>
        <w:t xml:space="preserve"> </w:t>
      </w:r>
    </w:p>
    <w:p w14:paraId="0CB147AD" w14:textId="77777777" w:rsidR="003574D2" w:rsidRDefault="00AA0758">
      <w:pPr>
        <w:numPr>
          <w:ilvl w:val="0"/>
          <w:numId w:val="7"/>
        </w:numPr>
        <w:spacing w:after="206"/>
        <w:ind w:right="0" w:hanging="283"/>
      </w:pPr>
      <w:r>
        <w:t>Hátránya, hogy fennáll az elszigetelődés veszélye és gyakran kontraproduktív, fennáll a munka-magánélet határainak elmosódása. Ha nincs „kijelentkezés”, a dolgozó hajlamos többet dolgozni, ami kiégéshez vezethet.</w:t>
      </w:r>
      <w:r>
        <w:t xml:space="preserve"> </w:t>
      </w:r>
    </w:p>
    <w:p w14:paraId="08177D63" w14:textId="77777777" w:rsidR="003574D2" w:rsidRDefault="00AA0758">
      <w:pPr>
        <w:pStyle w:val="Cmsor3"/>
        <w:ind w:left="-5"/>
      </w:pPr>
      <w:bookmarkStart w:id="36" w:name="_Toc35633"/>
      <w:r>
        <w:t>Rugalmas és kötetlen munkaidő</w:t>
      </w:r>
      <w:r>
        <w:t xml:space="preserve"> </w:t>
      </w:r>
      <w:bookmarkEnd w:id="36"/>
    </w:p>
    <w:p w14:paraId="0831E1A9" w14:textId="77777777" w:rsidR="003574D2" w:rsidRDefault="00AA0758">
      <w:pPr>
        <w:ind w:left="-5" w:right="0"/>
      </w:pPr>
      <w:r>
        <w:t>A szabadságfok itt a legmagasabb, hiszen az időbeli beosztás feletti kontroll nagyobb mértékben kerül a munkavállaló kezébe. Mindkettő munkaidőkeretben vezethető be.</w:t>
      </w:r>
      <w:r>
        <w:t xml:space="preserve"> </w:t>
      </w:r>
    </w:p>
    <w:p w14:paraId="7CAAC7B0" w14:textId="77777777" w:rsidR="003574D2" w:rsidRDefault="00AA0758">
      <w:pPr>
        <w:numPr>
          <w:ilvl w:val="0"/>
          <w:numId w:val="8"/>
        </w:numPr>
        <w:ind w:right="0" w:hanging="283"/>
      </w:pPr>
      <w:r>
        <w:t xml:space="preserve">Micsoda? A rugalmas munkaidőben van egy fix „törzsidő” (pl. 10:00–14:00), amikor a dolgozó elérhető, de a „peremidőben” a dolgozó dönti el, mikor kezd és végez. A kötetlen munkaidőnél a munkáltató a feladat elvégzését számonkéri, ám az időbeosztást akár teljesen a dolgozóra bízza. </w:t>
      </w:r>
      <w:r>
        <w:t>A munkaidő feletti rendelkezés a munkaszerződésben legfeljebb 50% mértékig megköthető, ha ez nincs, a dolgozó maga gazdálkodik a munkaidejével – a munkaidőkereten belül.</w:t>
      </w:r>
      <w:r>
        <w:t xml:space="preserve"> </w:t>
      </w:r>
    </w:p>
    <w:p w14:paraId="3EBBAD17" w14:textId="77777777" w:rsidR="003574D2" w:rsidRDefault="00AA0758">
      <w:pPr>
        <w:numPr>
          <w:ilvl w:val="0"/>
          <w:numId w:val="8"/>
        </w:numPr>
        <w:ind w:right="0" w:hanging="283"/>
      </w:pPr>
      <w:r>
        <w:t>Hogyan alakítható ki? Egyértelmű teljesítménymutatókat kell meghatározni. Ha a kimenet mérhető, az idő mérése másodlagossá válik.</w:t>
      </w:r>
      <w:r>
        <w:t xml:space="preserve"> </w:t>
      </w:r>
    </w:p>
    <w:p w14:paraId="40EC1276" w14:textId="77777777" w:rsidR="003574D2" w:rsidRDefault="00AA0758">
      <w:pPr>
        <w:numPr>
          <w:ilvl w:val="0"/>
          <w:numId w:val="8"/>
        </w:numPr>
        <w:ind w:right="0" w:hanging="283"/>
      </w:pPr>
      <w:r>
        <w:t>Miért jó? A dolgozó a saját bioritmusához vagy a gyerekei napirendjéhez igazíthatja a munkát. A munkáltató vonzóbbá válik a tehetséges munkaerő számára, aki értékeli az autonómiát.</w:t>
      </w:r>
      <w:r>
        <w:t xml:space="preserve"> </w:t>
      </w:r>
    </w:p>
    <w:p w14:paraId="3B8D212B" w14:textId="77777777" w:rsidR="003574D2" w:rsidRDefault="00AA0758">
      <w:pPr>
        <w:numPr>
          <w:ilvl w:val="0"/>
          <w:numId w:val="8"/>
        </w:numPr>
        <w:ind w:right="0" w:hanging="283"/>
      </w:pPr>
      <w:r>
        <w:t>Hátrányok: Nehézkesebb lehet a csapatmunkák koordinálása és az értekezletek összehívása.</w:t>
      </w:r>
      <w:r>
        <w:t xml:space="preserve"> </w:t>
      </w:r>
    </w:p>
    <w:p w14:paraId="303E4278" w14:textId="77777777" w:rsidR="003574D2" w:rsidRDefault="00AA0758">
      <w:pPr>
        <w:numPr>
          <w:ilvl w:val="0"/>
          <w:numId w:val="8"/>
        </w:numPr>
        <w:ind w:right="0" w:hanging="283"/>
      </w:pPr>
      <w:r>
        <w:t xml:space="preserve">Az természetüknél fogva kötött munkaidőjű feladatköröknél (pl. ügyfélszolgálati vagy gépsori munkakörök), ahol rugalmas munkaidő nem alakítható ki, gyakran munkaszervezéssel oldható meg az, hogy a munkaidő kezdés és befejezés időpontja rugalmas legyen. Ilyen esetben pl. a munkakezdés nem pontban 8 órakor, hanem háromnegyed nyolc-negyed kilenc között van, a munkaidő vége pedig az ettől számított nyolc </w:t>
      </w:r>
      <w:r>
        <w:t>óra. Ez a dolgozót abban segíti, hogy közlekedési tényezőkhöz (pl. busz menetrend) vagy oktatási intézmények nyitvatartási idejéhez könnyebben igazodjon. A munka-magánélet szempontjából ez a messzebbről bejáróknak vagy a kisgyermeket nevelőknek nagy segítség lehet.</w:t>
      </w:r>
      <w:r>
        <w:t xml:space="preserve"> </w:t>
      </w:r>
    </w:p>
    <w:p w14:paraId="5F88B2E2" w14:textId="77777777" w:rsidR="003574D2" w:rsidRDefault="00AA0758">
      <w:pPr>
        <w:pStyle w:val="Cmsor3"/>
        <w:ind w:left="-5"/>
      </w:pPr>
      <w:bookmarkStart w:id="37" w:name="_Toc35634"/>
      <w:r>
        <w:lastRenderedPageBreak/>
        <w:t xml:space="preserve">A hibrid munkavégzés </w:t>
      </w:r>
      <w:r>
        <w:t xml:space="preserve"> </w:t>
      </w:r>
      <w:bookmarkEnd w:id="37"/>
    </w:p>
    <w:p w14:paraId="1A437846" w14:textId="77777777" w:rsidR="003574D2" w:rsidRDefault="00AA0758">
      <w:pPr>
        <w:ind w:left="-5" w:right="0"/>
      </w:pPr>
      <w:r>
        <w:t xml:space="preserve">Hibrid munkavégzésről akkor beszélünk, amikor a dolgozó idejének egy részét irodában, más részét otthon vagy más helyszínen tölti. Mind az irodai mind az otthoni munkavégzés más atipikus formában (pl. </w:t>
      </w:r>
      <w:r>
        <w:t xml:space="preserve">rugalmas vagy kötetlen munkaidőben) is történhet. A hibrid munkavégzés több ponton is kedvezően hat a mentális jóllétre. Ez nem automatikus, de megfelelően szervezve jól mérhető előnyöket hoz. A Stanford Egyetem és más nemzetközi kutatóintézetek vizsgálatai szerint a megfelelően szervezett hibrid munkavégzés javítja a munkavállalók munka-magánélet egyensúlyát, növeli a munkával való elégedettséget, csökkenti a stresszt és a fluktuációt, miközben a szervezeti teljesítményt nem rontja </w:t>
      </w:r>
      <w:r>
        <w:t>(Bloom et al, 2024; Rhymer, 2024; The Guardian, 2024). Összességében ezek a kedvező hatások a következők lehetnek:</w:t>
      </w:r>
      <w:r>
        <w:t xml:space="preserve"> </w:t>
      </w:r>
    </w:p>
    <w:p w14:paraId="2969C5AF" w14:textId="77777777" w:rsidR="003574D2" w:rsidRDefault="00AA0758">
      <w:pPr>
        <w:ind w:left="-5" w:right="0"/>
      </w:pPr>
      <w:r>
        <w:t xml:space="preserve">A stressz csökkenése. </w:t>
      </w:r>
      <w:r>
        <w:t>Az egyik legfontosabb tényező az idő feletti kontroll növekedése. Ha valaki nem minden nap kötött időben ingázik, kevesebb időt tölt utazással, kisebb a napi időnyomás. Ez különösen nagyvárosi környezetben jelentős. Emellett az otthoni munkavégzés lehetővé teszi, hogy a dolgozó saját ritmusához igazítsa a feladatait (pl. koncentrált munkaidő blokkok), ami csökkenti a folyamatos megszakításokból fakadó stresszt.</w:t>
      </w:r>
      <w:r>
        <w:t xml:space="preserve"> </w:t>
      </w:r>
    </w:p>
    <w:p w14:paraId="59D1A383" w14:textId="77777777" w:rsidR="003574D2" w:rsidRDefault="00AA0758">
      <w:pPr>
        <w:ind w:left="-5" w:right="0"/>
      </w:pPr>
      <w:r>
        <w:t xml:space="preserve">A kiégés kockázatának mérséklése. </w:t>
      </w:r>
      <w:r>
        <w:t xml:space="preserve">A kiégés gyakran a túlterheltség és a kontroll hiánya miatt alakul ki. A hibrid modellben nagyobb az autonómia (önállóbb időbeosztás), jobban elválaszthatók a fókuszált és az együttműködést igénylő feladatok, könnyebb regenerálódni (pl. otthoni környezetben több mikroszünet). Ezek együttesen csökkentik a tartós kimerülés esélyét. </w:t>
      </w:r>
      <w:r>
        <w:t xml:space="preserve"> </w:t>
      </w:r>
    </w:p>
    <w:p w14:paraId="5A7AC9BB" w14:textId="77777777" w:rsidR="003574D2" w:rsidRDefault="00AA0758">
      <w:pPr>
        <w:ind w:left="-5" w:right="0"/>
      </w:pPr>
      <w:r>
        <w:t xml:space="preserve">A munka-magánélet egyensúly javulása. </w:t>
      </w:r>
      <w:r>
        <w:t xml:space="preserve">A hibrid munkavégzés segíti a különböző élethelyzetekhez való alkalmazkodást. Így pl. a kisgyermekes szülők könnyebben tudják összehangolni a munkát és a családi feladatokat, de az idős hozzátartozó gondozásával járó feladatok is jobban beilleszthetők a napba. Több idő marad pihenésre, sportra, ügyintézésre. Fontos azonban, hogy ehhez világos határok is kellenek (pl. munkaidő vége, „offline” időszakok), különben a munka „ráfolyhat” a magánéletre. </w:t>
      </w:r>
      <w:r>
        <w:t xml:space="preserve"> </w:t>
      </w:r>
    </w:p>
    <w:p w14:paraId="3399EF6A" w14:textId="77777777" w:rsidR="003574D2" w:rsidRDefault="00AA0758">
      <w:pPr>
        <w:ind w:left="-5" w:right="0"/>
      </w:pPr>
      <w:r>
        <w:t xml:space="preserve">A munkavállalói elégedettség növekedése. </w:t>
      </w:r>
      <w:r>
        <w:t xml:space="preserve">A rugalmasság önmagában is erős elégedettségi tényező. A dolgozók értékelik, ha megbíznak bennük (nem a jelenlétet, hanem a teljesítményt mérik), választhatnak a munkavégzés módjai közül, és figyelembe veszik az egyéni igényeiket. Ez nemcsak jobb közérzetet, hanem magasabb elköteleződést és alacsonyabb fluktuációt is eredményez. </w:t>
      </w:r>
      <w:r>
        <w:t xml:space="preserve"> </w:t>
      </w:r>
    </w:p>
    <w:p w14:paraId="33827F3D" w14:textId="77777777" w:rsidR="003574D2" w:rsidRDefault="00AA0758">
      <w:pPr>
        <w:ind w:left="-5" w:right="0"/>
      </w:pPr>
      <w:r>
        <w:t xml:space="preserve">Fontos azonban megjegyeznünk, hogy a </w:t>
      </w:r>
      <w:r>
        <w:t xml:space="preserve">hibrid munkavégzés csak akkor hozza ezeket az előnyöket, ha jól van kialakítva. Ehhez szükségesek az egyértelmű elvárások és kommunikáció, a támogató vezetői attitűd, a rendszeres kapcsolattartás a csapattal, illetve szükség szerint a mentális egészséget támogató programok. </w:t>
      </w:r>
      <w:r>
        <w:t xml:space="preserve"> </w:t>
      </w:r>
    </w:p>
    <w:p w14:paraId="305816CF" w14:textId="77777777" w:rsidR="003574D2" w:rsidRDefault="00AA0758">
      <w:pPr>
        <w:spacing w:after="159" w:line="275" w:lineRule="auto"/>
        <w:ind w:left="-5" w:right="0"/>
        <w:jc w:val="left"/>
      </w:pPr>
      <w:r>
        <w:t>Összességében tehát nem maga az „otthonról dolgozás” a kulcs, hanem a rugalmasság + bizalom + tudatos szervezeti működés kombinációja, ami valóban javítja a dolgozók mentális jóllétét.</w:t>
      </w:r>
      <w:r>
        <w:t xml:space="preserve"> </w:t>
      </w:r>
    </w:p>
    <w:p w14:paraId="3E6FE043" w14:textId="77777777" w:rsidR="003574D2" w:rsidRDefault="00AA0758">
      <w:pPr>
        <w:pStyle w:val="Cmsor3"/>
        <w:ind w:left="-5"/>
      </w:pPr>
      <w:bookmarkStart w:id="38" w:name="_Toc35635"/>
      <w:r>
        <w:lastRenderedPageBreak/>
        <w:t>Munkakörmegosztás</w:t>
      </w:r>
      <w:r>
        <w:t xml:space="preserve"> </w:t>
      </w:r>
      <w:bookmarkEnd w:id="38"/>
    </w:p>
    <w:p w14:paraId="64FB34BE" w14:textId="77777777" w:rsidR="003574D2" w:rsidRDefault="00AA0758">
      <w:pPr>
        <w:ind w:left="-5" w:right="0"/>
      </w:pPr>
      <w:r>
        <w:t>A részmunkaidő klasszikus megoldás, az osztott munkakör ennek egy izgalmas, modern változata.</w:t>
      </w:r>
      <w:r>
        <w:t xml:space="preserve"> </w:t>
      </w:r>
    </w:p>
    <w:p w14:paraId="14234507" w14:textId="77777777" w:rsidR="003574D2" w:rsidRDefault="00AA0758">
      <w:pPr>
        <w:numPr>
          <w:ilvl w:val="0"/>
          <w:numId w:val="9"/>
        </w:numPr>
        <w:ind w:right="0" w:hanging="283"/>
      </w:pPr>
      <w:r>
        <w:t>Micsoda? Az egyéni részmunkaidőben a dolgozó pl. napi 4-6 órát dolgozik. A munkakörmegosztás során két ember tölt be egyetlen teljes munkaidős pozíciót, megosztva egymás között a feladatokat, a felelősséget és a fizetést.</w:t>
      </w:r>
      <w:r>
        <w:t xml:space="preserve"> </w:t>
      </w:r>
    </w:p>
    <w:p w14:paraId="281BD584" w14:textId="77777777" w:rsidR="003574D2" w:rsidRDefault="00AA0758">
      <w:pPr>
        <w:numPr>
          <w:ilvl w:val="0"/>
          <w:numId w:val="9"/>
        </w:numPr>
        <w:ind w:right="0" w:hanging="283"/>
      </w:pPr>
      <w:r>
        <w:t>Miért jó? A dolgozónak (főleg kisgyerekes szülőknek vagy tanulóknak) segít bent maradni a munka világában a teljes leterheltség nélkül. A munkáltató két ember szakértelmét és kreativitását kapja meg egy áráért, ráadásul, ha az egyik beteg, a másik ismerheti a folyamatokat.</w:t>
      </w:r>
      <w:r>
        <w:t xml:space="preserve"> </w:t>
      </w:r>
    </w:p>
    <w:p w14:paraId="4EDAF6BA" w14:textId="77777777" w:rsidR="003574D2" w:rsidRDefault="00AA0758">
      <w:pPr>
        <w:numPr>
          <w:ilvl w:val="0"/>
          <w:numId w:val="9"/>
        </w:numPr>
        <w:ind w:right="0" w:hanging="283"/>
      </w:pPr>
      <w:r>
        <w:t>Mire kell figyelni? Kulcsfontosságú a két dolgozó közötti precíz kommunikáció és az átadás-átvétel rendszere. Ha nincs összhang, a feladatok „elveszhetnek”.</w:t>
      </w:r>
      <w:r>
        <w:t xml:space="preserve"> </w:t>
      </w:r>
    </w:p>
    <w:p w14:paraId="41382C3D" w14:textId="77777777" w:rsidR="003574D2" w:rsidRDefault="00AA0758">
      <w:pPr>
        <w:numPr>
          <w:ilvl w:val="0"/>
          <w:numId w:val="9"/>
        </w:numPr>
        <w:spacing w:after="209"/>
        <w:ind w:right="0" w:hanging="283"/>
      </w:pPr>
      <w:r>
        <w:t>Hátrányok: A dolgozó számára az időarányosan alacsonyabb bér anyagi nehézséget jelenthet.</w:t>
      </w:r>
      <w:r>
        <w:t xml:space="preserve"> </w:t>
      </w:r>
    </w:p>
    <w:p w14:paraId="230604DE" w14:textId="77777777" w:rsidR="003574D2" w:rsidRDefault="00AA0758">
      <w:pPr>
        <w:pStyle w:val="Cmsor3"/>
        <w:ind w:left="-5"/>
      </w:pPr>
      <w:bookmarkStart w:id="39" w:name="_Toc35636"/>
      <w:r>
        <w:t>A munkakörmegosztás bevezetése</w:t>
      </w:r>
      <w:r>
        <w:t xml:space="preserve"> </w:t>
      </w:r>
      <w:bookmarkEnd w:id="39"/>
    </w:p>
    <w:p w14:paraId="38F570EC" w14:textId="77777777" w:rsidR="003574D2" w:rsidRDefault="00AA0758">
      <w:pPr>
        <w:ind w:left="-5" w:right="0"/>
      </w:pPr>
      <w:r>
        <w:t>A munkakörmegosztás lényege, hogy két munkavállaló közösen felel egyetlen teljes munkaidős pozícióért. Ez nem két külön részmunkaidős állás, hanem egyetlen munkakör, ahol a felelősség közös. Bevezetését a tervezés-cselekvés-ellenőrzésfejlesztés négyes ciklusa alapján négy fázisra tagolhatjuk</w:t>
      </w:r>
      <w:r>
        <w:t xml:space="preserve"> </w:t>
      </w:r>
    </w:p>
    <w:p w14:paraId="3AF9D105" w14:textId="77777777" w:rsidR="003574D2" w:rsidRDefault="00AA0758">
      <w:pPr>
        <w:spacing w:after="168" w:line="267" w:lineRule="auto"/>
        <w:ind w:left="-5" w:right="0"/>
        <w:jc w:val="left"/>
      </w:pPr>
      <w:r>
        <w:rPr>
          <w:b/>
          <w:i/>
        </w:rPr>
        <w:t xml:space="preserve">1. fázis: Előkészítés és alkalmassági vizsgálat (1-2. hét) </w:t>
      </w:r>
    </w:p>
    <w:p w14:paraId="1CD48B01" w14:textId="77777777" w:rsidR="003574D2" w:rsidRDefault="00AA0758">
      <w:pPr>
        <w:ind w:left="-5" w:right="0"/>
      </w:pPr>
      <w:r>
        <w:t>Mielőtt belevágnánk, elemezni kell, hogy a konkrét pozíció alkalmas-e az osztásra.</w:t>
      </w:r>
      <w:r>
        <w:t xml:space="preserve"> </w:t>
      </w:r>
    </w:p>
    <w:p w14:paraId="20E56534" w14:textId="77777777" w:rsidR="003574D2" w:rsidRDefault="00AA0758">
      <w:pPr>
        <w:numPr>
          <w:ilvl w:val="0"/>
          <w:numId w:val="10"/>
        </w:numPr>
        <w:ind w:right="0" w:hanging="283"/>
      </w:pPr>
      <w:r>
        <w:t>Munkakör elemzése: Olyan feladatokat keressünk, amelyek nem igényelnek állandó, azonnali rendelkezésre állást egyetlen személytől, de jól dokumentálható folyamatokból állnak (pl. marketing, adminisztráció, HR, ügyfélszolgálat).</w:t>
      </w:r>
      <w:r>
        <w:t xml:space="preserve"> </w:t>
      </w:r>
    </w:p>
    <w:p w14:paraId="1B684C71" w14:textId="77777777" w:rsidR="003574D2" w:rsidRDefault="00AA0758">
      <w:pPr>
        <w:numPr>
          <w:ilvl w:val="0"/>
          <w:numId w:val="10"/>
        </w:numPr>
        <w:ind w:right="0" w:hanging="283"/>
      </w:pPr>
      <w:r>
        <w:t>Párosítás: A legfontosabb lépés. A két embernek nemcsak szakmailag, hanem emberileg is passzolnia kell. Hasonló munkamorállal és kommunikációs stílussal kell rendelkezniük.</w:t>
      </w:r>
      <w:r>
        <w:t xml:space="preserve"> </w:t>
      </w:r>
    </w:p>
    <w:p w14:paraId="0B4948A5" w14:textId="77777777" w:rsidR="003574D2" w:rsidRDefault="00AA0758">
      <w:pPr>
        <w:numPr>
          <w:ilvl w:val="0"/>
          <w:numId w:val="10"/>
        </w:numPr>
        <w:spacing w:after="82" w:line="343" w:lineRule="auto"/>
        <w:ind w:right="0" w:hanging="283"/>
      </w:pPr>
      <w:r>
        <w:t>Munkáltatói előny: A cég "két agyat" kap egy áráért, és ha az egyik fél kiesik (betegség, szabadság), a munkafolyamat nem áll meg.</w:t>
      </w:r>
      <w:r>
        <w:t xml:space="preserve"> </w:t>
      </w:r>
      <w:r>
        <w:rPr>
          <w:b/>
          <w:i/>
        </w:rPr>
        <w:t xml:space="preserve">2. fázis: A keretrendszer kidolgozása (3-4. hét) </w:t>
      </w:r>
    </w:p>
    <w:p w14:paraId="1574A142" w14:textId="77777777" w:rsidR="003574D2" w:rsidRDefault="00AA0758">
      <w:pPr>
        <w:ind w:left="-5" w:right="0"/>
      </w:pPr>
      <w:r>
        <w:t>Itt dől el a logisztika és a jogi háttér.</w:t>
      </w:r>
      <w:r>
        <w:t xml:space="preserve"> </w:t>
      </w:r>
    </w:p>
    <w:p w14:paraId="365B271C" w14:textId="77777777" w:rsidR="003574D2" w:rsidRDefault="00AA0758">
      <w:pPr>
        <w:numPr>
          <w:ilvl w:val="0"/>
          <w:numId w:val="10"/>
        </w:numPr>
        <w:ind w:right="0" w:hanging="283"/>
      </w:pPr>
      <w:r>
        <w:t>Időbeli felosztás: ki mikor dolgozik? Például:</w:t>
      </w:r>
      <w:r>
        <w:t xml:space="preserve"> </w:t>
      </w:r>
    </w:p>
    <w:p w14:paraId="61F8379C" w14:textId="77777777" w:rsidR="003574D2" w:rsidRDefault="00AA0758">
      <w:pPr>
        <w:numPr>
          <w:ilvl w:val="1"/>
          <w:numId w:val="10"/>
        </w:numPr>
        <w:ind w:right="0" w:hanging="360"/>
      </w:pPr>
      <w:r>
        <w:t>Fél hét: Hétfő-kedd és szerda délelőtt az egyik, szerda délután és csütörtök-péntek a másik.</w:t>
      </w:r>
      <w:r>
        <w:t xml:space="preserve"> </w:t>
      </w:r>
    </w:p>
    <w:p w14:paraId="0A7A3EBB" w14:textId="77777777" w:rsidR="003574D2" w:rsidRDefault="00AA0758">
      <w:pPr>
        <w:numPr>
          <w:ilvl w:val="1"/>
          <w:numId w:val="10"/>
        </w:numPr>
        <w:ind w:right="0" w:hanging="360"/>
      </w:pPr>
      <w:r>
        <w:t>Váltott napok: Egyik nap az egyik, másik nap a másik.</w:t>
      </w:r>
      <w:r>
        <w:t xml:space="preserve"> </w:t>
      </w:r>
    </w:p>
    <w:p w14:paraId="0EC5445C" w14:textId="77777777" w:rsidR="003574D2" w:rsidRDefault="00AA0758">
      <w:pPr>
        <w:numPr>
          <w:ilvl w:val="1"/>
          <w:numId w:val="10"/>
        </w:numPr>
        <w:ind w:right="0" w:hanging="360"/>
      </w:pPr>
      <w:r>
        <w:lastRenderedPageBreak/>
        <w:t>Fontos: Legyen legalább 2-</w:t>
      </w:r>
      <w:r>
        <w:t>4 óra átfedés (pl. szerda délben), amikor mindketten bent vannak az információátadás és a közös megbeszélések miatt.</w:t>
      </w:r>
      <w:r>
        <w:t xml:space="preserve"> </w:t>
      </w:r>
    </w:p>
    <w:p w14:paraId="40DC2848" w14:textId="77777777" w:rsidR="003574D2" w:rsidRDefault="00AA0758">
      <w:pPr>
        <w:numPr>
          <w:ilvl w:val="0"/>
          <w:numId w:val="10"/>
        </w:numPr>
        <w:ind w:right="0" w:hanging="283"/>
      </w:pPr>
      <w:r>
        <w:t>Kommunikációs protokoll: közös e-mail fiók használata, közös naptár, és egy olyan projektmenedzsment szoftver (pl. Trello, Asana), ahol mindketten látják a feladatok aktuális állását.</w:t>
      </w:r>
      <w:r>
        <w:t xml:space="preserve"> </w:t>
      </w:r>
    </w:p>
    <w:p w14:paraId="59022819" w14:textId="77777777" w:rsidR="003574D2" w:rsidRDefault="00AA0758">
      <w:pPr>
        <w:numPr>
          <w:ilvl w:val="0"/>
          <w:numId w:val="10"/>
        </w:numPr>
        <w:ind w:right="0" w:hanging="283"/>
      </w:pPr>
      <w:r>
        <w:t>Mire kell odafigyelni? A munkaszerződésekben rögzíteni kell a helyettesítési kötelezettségeket és a felelősségi körök pontos metszetét.</w:t>
      </w:r>
      <w:r>
        <w:t xml:space="preserve"> </w:t>
      </w:r>
    </w:p>
    <w:p w14:paraId="42C92E09" w14:textId="77777777" w:rsidR="003574D2" w:rsidRDefault="00AA0758">
      <w:pPr>
        <w:spacing w:after="168" w:line="267" w:lineRule="auto"/>
        <w:ind w:left="-5" w:right="0"/>
        <w:jc w:val="left"/>
      </w:pPr>
      <w:r>
        <w:rPr>
          <w:b/>
          <w:i/>
        </w:rPr>
        <w:t xml:space="preserve">3. fázis: Próbaidőszak és bevezetés (1-3. hónap) </w:t>
      </w:r>
    </w:p>
    <w:p w14:paraId="3AF7D8C6" w14:textId="77777777" w:rsidR="003574D2" w:rsidRDefault="00AA0758">
      <w:pPr>
        <w:ind w:left="-5" w:right="0"/>
      </w:pPr>
      <w:r>
        <w:t>Érdemes egy 3 hónapos próbaidővel kezdeni.</w:t>
      </w:r>
      <w:r>
        <w:t xml:space="preserve"> </w:t>
      </w:r>
    </w:p>
    <w:p w14:paraId="51440509" w14:textId="77777777" w:rsidR="003574D2" w:rsidRDefault="00AA0758">
      <w:pPr>
        <w:numPr>
          <w:ilvl w:val="0"/>
          <w:numId w:val="11"/>
        </w:numPr>
        <w:ind w:right="0" w:hanging="283"/>
      </w:pPr>
      <w:r>
        <w:t>Vezetői kontroll: Az első hónapban hetente egyszer rövid megbeszélés a párossal. Nem a mikromenedzselés a cél, hanem az akadályok elhárítása.</w:t>
      </w:r>
      <w:r>
        <w:t xml:space="preserve"> </w:t>
      </w:r>
    </w:p>
    <w:p w14:paraId="398213B2" w14:textId="77777777" w:rsidR="003574D2" w:rsidRDefault="00AA0758">
      <w:pPr>
        <w:numPr>
          <w:ilvl w:val="0"/>
          <w:numId w:val="11"/>
        </w:numPr>
        <w:ind w:right="0" w:hanging="283"/>
      </w:pPr>
      <w:r>
        <w:t>Ügyfelek/Partnerek tájékoztatása: Világossá kell tenni a külvilág felé, hogy kihez milyen ügyben fordulhatnak, és hogy az információáramlás garantált a két kolléga között.</w:t>
      </w:r>
      <w:r>
        <w:t xml:space="preserve"> </w:t>
      </w:r>
    </w:p>
    <w:p w14:paraId="4E3A5CF2" w14:textId="77777777" w:rsidR="003574D2" w:rsidRDefault="00AA0758">
      <w:pPr>
        <w:numPr>
          <w:ilvl w:val="0"/>
          <w:numId w:val="11"/>
        </w:numPr>
        <w:ind w:right="0" w:hanging="283"/>
      </w:pPr>
      <w:r>
        <w:t>Dolgozói előny: A munkavállaló megkapja a vágyott szabadidőt (pl. családra, tanulásra), miközben nem esik ki a szakmai vérkeringésből.</w:t>
      </w:r>
      <w:r>
        <w:t xml:space="preserve"> </w:t>
      </w:r>
    </w:p>
    <w:p w14:paraId="300C7C1E" w14:textId="77777777" w:rsidR="003574D2" w:rsidRDefault="00AA0758">
      <w:pPr>
        <w:spacing w:after="168" w:line="267" w:lineRule="auto"/>
        <w:ind w:left="-5" w:right="0"/>
        <w:jc w:val="left"/>
      </w:pPr>
      <w:r>
        <w:rPr>
          <w:b/>
          <w:i/>
        </w:rPr>
        <w:t xml:space="preserve">4. fázis: Értékelés és finomhangolás (4. hónap után) </w:t>
      </w:r>
    </w:p>
    <w:p w14:paraId="6A025A52" w14:textId="77777777" w:rsidR="003574D2" w:rsidRDefault="00AA0758">
      <w:pPr>
        <w:numPr>
          <w:ilvl w:val="0"/>
          <w:numId w:val="12"/>
        </w:numPr>
        <w:ind w:right="0" w:hanging="283"/>
      </w:pPr>
      <w:r>
        <w:t>Hatékonyság mérése: jobban haladnak a feladatok? Kevesebb a hiba?</w:t>
      </w:r>
      <w:r>
        <w:t xml:space="preserve"> </w:t>
      </w:r>
    </w:p>
    <w:p w14:paraId="774FEA4E" w14:textId="77777777" w:rsidR="003574D2" w:rsidRDefault="00AA0758">
      <w:pPr>
        <w:numPr>
          <w:ilvl w:val="0"/>
          <w:numId w:val="12"/>
        </w:numPr>
        <w:ind w:right="0" w:hanging="283"/>
      </w:pPr>
      <w:r>
        <w:t>Elégedettség mérése: hogy érzi magát a páros? Van-e súrlódás köztük?</w:t>
      </w:r>
      <w:r>
        <w:t xml:space="preserve"> </w:t>
      </w:r>
    </w:p>
    <w:p w14:paraId="4FDCAF77" w14:textId="77777777" w:rsidR="003574D2" w:rsidRDefault="00AA0758">
      <w:pPr>
        <w:numPr>
          <w:ilvl w:val="0"/>
          <w:numId w:val="12"/>
        </w:numPr>
        <w:ind w:right="0" w:hanging="283"/>
      </w:pPr>
      <w:r>
        <w:t>Kockázat: ha az egyik fél dominánssá válik, vagy a kommunikáció elakad, a munkafolyamat széteshet. Ilyenkor újra kell definiálni a feladatokat.</w:t>
      </w:r>
      <w:r>
        <w:t xml:space="preserve"> </w:t>
      </w:r>
    </w:p>
    <w:p w14:paraId="60444F41" w14:textId="77777777" w:rsidR="003574D2" w:rsidRDefault="00AA0758">
      <w:pPr>
        <w:spacing w:after="206"/>
        <w:ind w:left="-5" w:right="0"/>
      </w:pPr>
      <w:r>
        <w:rPr>
          <w:b/>
          <w:i/>
        </w:rPr>
        <w:t xml:space="preserve">Tipp a sikerhez: a "zökkenőmentes átadás" szabálya: </w:t>
      </w:r>
      <w:r>
        <w:t xml:space="preserve">a munkakörmegosztás </w:t>
      </w:r>
      <w:r>
        <w:t>csak akkor működik, ha az ügyfél vagy a főnök észre sem veszi, éppen melyik féllel beszél, mert mindketten naprakészek. Ezért az átfedési időben történő precíz dokumentáció a rendszer lelke.</w:t>
      </w:r>
      <w:r>
        <w:rPr>
          <w:b/>
          <w:i/>
        </w:rPr>
        <w:t xml:space="preserve"> </w:t>
      </w:r>
    </w:p>
    <w:p w14:paraId="37A16773" w14:textId="77777777" w:rsidR="003574D2" w:rsidRDefault="00AA0758">
      <w:pPr>
        <w:pStyle w:val="Cmsor3"/>
        <w:ind w:left="-5"/>
      </w:pPr>
      <w:bookmarkStart w:id="40" w:name="_Toc35637"/>
      <w:r>
        <w:t>Mire kell odafigyelni az atipikus foglalkoztatásnál? (Vezetői és egyéni szempontok)</w:t>
      </w:r>
      <w:r>
        <w:t xml:space="preserve"> </w:t>
      </w:r>
      <w:bookmarkEnd w:id="40"/>
    </w:p>
    <w:p w14:paraId="460A83C3" w14:textId="77777777" w:rsidR="003574D2" w:rsidRDefault="00AA0758">
      <w:pPr>
        <w:ind w:left="-5" w:right="0"/>
      </w:pPr>
      <w:r>
        <w:t xml:space="preserve">Az atipikus formák bevezetésekor a legnagyobb hiba a „kontrollvesztéstől” való félelem. A vezetőknek át kell állniuk az időalapú szemléletről az eredményalapú szemléletre. Fontos, hogy </w:t>
      </w:r>
      <w:r>
        <w:t>mindenki tudja, ki mikor érhető el. A munkavállaló részéről pedig önfegyelem és jó időgazdálkodás szükséges, hogy a szabadság ne csapjon át a produktivitás válságába.</w:t>
      </w:r>
      <w:r>
        <w:t xml:space="preserve"> </w:t>
      </w:r>
    </w:p>
    <w:p w14:paraId="1C6DB9A4" w14:textId="77777777" w:rsidR="003574D2" w:rsidRDefault="00AA0758">
      <w:pPr>
        <w:spacing w:after="239"/>
        <w:ind w:left="-5" w:right="0"/>
      </w:pPr>
      <w:r>
        <w:t>A munkaidő beosztása mellett a munka és magánélet szempontjából kulcsfontosságú maga a munkaszervezés is. A munkakörök időközönkénti áttekintésével azok feladattartama racionalizálható, így mind a felesleges, ismétlődő (több dolgozó által egyszerre elvégzett) feladatok száma mind az adminisztráció csökkenthető.</w:t>
      </w:r>
      <w:r>
        <w:t xml:space="preserve"> </w:t>
      </w:r>
    </w:p>
    <w:p w14:paraId="38778E56" w14:textId="77777777" w:rsidR="003574D2" w:rsidRDefault="00AA0758">
      <w:pPr>
        <w:pStyle w:val="Cmsor2"/>
        <w:spacing w:after="76"/>
        <w:ind w:left="-5"/>
      </w:pPr>
      <w:bookmarkStart w:id="41" w:name="_Toc35638"/>
      <w:r>
        <w:lastRenderedPageBreak/>
        <w:t>Támogatni a mentális egészség megőrzését</w:t>
      </w:r>
      <w:r>
        <w:t xml:space="preserve"> </w:t>
      </w:r>
      <w:bookmarkEnd w:id="41"/>
    </w:p>
    <w:p w14:paraId="5D9C5733" w14:textId="77777777" w:rsidR="003574D2" w:rsidRDefault="00AA0758">
      <w:pPr>
        <w:spacing w:after="129" w:line="268" w:lineRule="auto"/>
        <w:ind w:left="-5" w:right="0"/>
        <w:jc w:val="left"/>
      </w:pPr>
      <w:r>
        <w:rPr>
          <w:rFonts w:ascii="Calibri" w:eastAsia="Calibri" w:hAnsi="Calibri" w:cs="Calibri"/>
          <w:color w:val="595959"/>
          <w:sz w:val="28"/>
        </w:rPr>
        <w:t xml:space="preserve">A fizikai és mentális jóllét, egészségmegőrzés, a dolgozók mentálhigiénés támogatásának eszközei </w:t>
      </w:r>
    </w:p>
    <w:p w14:paraId="51CA3730" w14:textId="77777777" w:rsidR="003574D2" w:rsidRDefault="00AA0758">
      <w:pPr>
        <w:ind w:left="-5" w:right="0"/>
      </w:pPr>
      <w:r>
        <w:t xml:space="preserve">A munka és a magánélet összeegyeztetésének mára fontos része lett a munkavállalók mentális jóllétének megőrzésének támogatása. A fentebb részletezett, nemzetközi jó gyakorlatok között </w:t>
      </w:r>
      <w:r>
        <w:t xml:space="preserve">széles körben elterjedtek dolgozói asszisztencia programok (felületek, szoftverek), amelyek anonim pszichológiai tanácsadást, krízisintervenciót, családi, pénzügyi és jogi tanácsadást kínálnak a munkavállalóknak és gyakran családtagjaiknak is. A munkavállalói mentálhigiénés jóllét támogatásában növekszik a vezetők szerepe. Számos munkáltató mentális elsősegélynyújtó képzéseket indított vezetők és munkatársak számára, hogy időben felismerjék a kiégés vagy a pszichés túlterheltség jeleit. </w:t>
      </w:r>
      <w:r>
        <w:t xml:space="preserve"> </w:t>
      </w:r>
    </w:p>
    <w:p w14:paraId="55B40959" w14:textId="77777777" w:rsidR="003574D2" w:rsidRDefault="00AA0758">
      <w:pPr>
        <w:spacing w:after="5"/>
        <w:ind w:left="-5" w:right="0"/>
      </w:pPr>
      <w:r>
        <w:t xml:space="preserve">A </w:t>
      </w:r>
      <w:r>
        <w:t xml:space="preserve">dolgozók mentális támogatása terén megjelenő jó gyakorlatok összhangban állnak azokkal a kutatási eredményekkel, amelyek szerint a rugalmas munkavégzés, a családbarát intézkedések és a mentális egészséget támogató szolgáltatások növelik a </w:t>
      </w:r>
    </w:p>
    <w:p w14:paraId="76D77E29" w14:textId="77777777" w:rsidR="003574D2" w:rsidRDefault="00AA0758">
      <w:pPr>
        <w:ind w:left="-5" w:right="0"/>
      </w:pPr>
      <w:r>
        <w:t xml:space="preserve">munkavállalói jóllétet, ezáltal közvetve a szervezeti teljesítményt is. A Deloitte brit munkavállalókra reprezentatív felmérésének eredménye </w:t>
      </w:r>
      <w:r>
        <w:t xml:space="preserve">szerint a munkahelyi mentális egészségprogramokba fektetett minden 1 font átlagosan 5 font megtérülést hoz a szervezetnek a csökkenő hiányzások és a csökkenő fásultság/jelenléti veszteség révén (Deloitte, 2020). </w:t>
      </w:r>
      <w:r>
        <w:t xml:space="preserve"> </w:t>
      </w:r>
    </w:p>
    <w:p w14:paraId="440FDB23" w14:textId="77777777" w:rsidR="003574D2" w:rsidRDefault="00AA0758">
      <w:pPr>
        <w:ind w:left="-5" w:right="0"/>
      </w:pPr>
      <w:r>
        <w:t>Az Egészségügyi Világszervezet (WHO) átfogó vizsgálatai alátámasztják, hogy a szorongás és a depresszió kezelését célzó munkahelyi programok globálisan 4-szeres megtérülést mutatnak a jobb egészségi állapot és a magasabb produktivitás formájában (Chisholm et al., 2016).</w:t>
      </w:r>
      <w:r>
        <w:t xml:space="preserve"> </w:t>
      </w:r>
    </w:p>
    <w:p w14:paraId="2F56AB74" w14:textId="77777777" w:rsidR="003574D2" w:rsidRDefault="00AA0758">
      <w:pPr>
        <w:ind w:left="-5" w:right="0"/>
      </w:pPr>
      <w:r>
        <w:t>Noha hazánkban még viszonylag kevés kutatás foglalkozik az eredmények mérésével (pl. Ország-Novák et. al, 2024), a külföldi cégek leányvállalatai mellett egyre több hazai tulajdonú cég is bevezeti ezeket a szolgáltatásokat. A fővárosi cégek fentebb már részletesebben ismertetett gyakorlatában például több ilyen elem megtalálható. A már említettek közül a mentális egészség szempontjából legfontosabbak: a BMSZKI-</w:t>
      </w:r>
      <w:r>
        <w:t xml:space="preserve">ban alkalmazott szupervízió, a Közútnál elérhető mentálhigiénés szakember, valamint a BKV stresszkezelő tréningjei. </w:t>
      </w:r>
      <w:r>
        <w:t xml:space="preserve"> </w:t>
      </w:r>
    </w:p>
    <w:p w14:paraId="2AFC3D89" w14:textId="77777777" w:rsidR="003574D2" w:rsidRDefault="00AA0758">
      <w:pPr>
        <w:ind w:left="-5" w:right="0"/>
      </w:pPr>
      <w:r>
        <w:t xml:space="preserve">Mindezek a gyakorlatok azt mutatják, hogy a szervezetek felismerték: a mentális egészség megőrzése nem kizárólag az egyén felelőssége, hanem a munkáltatóé is. A mentális egészség megőrzése szempontjából különösen fontos a rendszeres vezetői visszajelzés, a támogató munkahelyi légkör és a rugalmas munkaszervezés, amelyek bizonyítottan csökkentik a kiégés kockázatát. </w:t>
      </w:r>
      <w:r>
        <w:t xml:space="preserve"> </w:t>
      </w:r>
    </w:p>
    <w:p w14:paraId="29D173AF" w14:textId="77777777" w:rsidR="003574D2" w:rsidRDefault="00AA0758">
      <w:pPr>
        <w:spacing w:after="222"/>
        <w:ind w:left="-5" w:right="0"/>
      </w:pPr>
      <w:r>
        <w:t>A fizikai és mentális megőrzés a munkáltatók többféle, természetbeni és utalvány formájú juttatással támogatják, amelyek közül a dolgozók többnyire cafeteria rendszerben, saját szükségleteik szerint választhatnak. Ilyen, szolgáltatás típusú lehetőségek különösen:</w:t>
      </w:r>
      <w:r>
        <w:t xml:space="preserve"> </w:t>
      </w:r>
    </w:p>
    <w:p w14:paraId="634FBBEA" w14:textId="77777777" w:rsidR="003574D2" w:rsidRDefault="00AA0758">
      <w:pPr>
        <w:numPr>
          <w:ilvl w:val="0"/>
          <w:numId w:val="13"/>
        </w:numPr>
        <w:spacing w:after="62"/>
        <w:ind w:right="0" w:hanging="283"/>
      </w:pPr>
      <w:r>
        <w:rPr>
          <w:b/>
          <w:i/>
        </w:rPr>
        <w:lastRenderedPageBreak/>
        <w:t>Kiégés megelőzését</w:t>
      </w:r>
      <w:r>
        <w:t>, felismerését és kezelését támogató tanfolyamok, programok, online felületek</w:t>
      </w:r>
      <w:r>
        <w:t xml:space="preserve"> </w:t>
      </w:r>
    </w:p>
    <w:p w14:paraId="04E8FAD2" w14:textId="77777777" w:rsidR="003574D2" w:rsidRDefault="00AA0758">
      <w:pPr>
        <w:numPr>
          <w:ilvl w:val="0"/>
          <w:numId w:val="13"/>
        </w:numPr>
        <w:spacing w:after="62"/>
        <w:ind w:right="0" w:hanging="283"/>
      </w:pPr>
      <w:r>
        <w:rPr>
          <w:b/>
          <w:i/>
        </w:rPr>
        <w:t>Egészséges életmóddal</w:t>
      </w:r>
      <w:r>
        <w:t xml:space="preserve"> </w:t>
      </w:r>
      <w:r>
        <w:t>kapcsolatos céges események, kampányok (pl. céges egészségnap), amelyek gyakran komplex munkahelyi egészségterv keretei között valósulnak meg</w:t>
      </w:r>
      <w:r>
        <w:t xml:space="preserve"> </w:t>
      </w:r>
    </w:p>
    <w:p w14:paraId="78EAF299" w14:textId="77777777" w:rsidR="003574D2" w:rsidRDefault="00AA0758">
      <w:pPr>
        <w:numPr>
          <w:ilvl w:val="0"/>
          <w:numId w:val="13"/>
        </w:numPr>
        <w:spacing w:after="62"/>
        <w:ind w:right="0" w:hanging="283"/>
      </w:pPr>
      <w:r>
        <w:t xml:space="preserve">Egyéni, párkapcsolati, családi </w:t>
      </w:r>
      <w:r>
        <w:rPr>
          <w:b/>
          <w:i/>
        </w:rPr>
        <w:t>tanácsadás</w:t>
      </w:r>
      <w:r>
        <w:t xml:space="preserve"> (pszichológus, kríziskezelés…) - akár egészségpénztári keretből finanszírozottan vagy önálló lehetőségként</w:t>
      </w:r>
      <w:r>
        <w:t xml:space="preserve"> </w:t>
      </w:r>
    </w:p>
    <w:p w14:paraId="6869CD24" w14:textId="77777777" w:rsidR="003574D2" w:rsidRDefault="00AA0758">
      <w:pPr>
        <w:numPr>
          <w:ilvl w:val="0"/>
          <w:numId w:val="13"/>
        </w:numPr>
        <w:spacing w:after="15"/>
        <w:ind w:right="0" w:hanging="283"/>
      </w:pPr>
      <w:r>
        <w:t xml:space="preserve">Eseti és rendszeres </w:t>
      </w:r>
      <w:r>
        <w:rPr>
          <w:b/>
          <w:i/>
        </w:rPr>
        <w:t>szűrőprogramok</w:t>
      </w:r>
      <w:r>
        <w:t xml:space="preserve"> </w:t>
      </w:r>
    </w:p>
    <w:p w14:paraId="3DEFDE22" w14:textId="77777777" w:rsidR="003574D2" w:rsidRDefault="00AA0758">
      <w:pPr>
        <w:numPr>
          <w:ilvl w:val="0"/>
          <w:numId w:val="13"/>
        </w:numPr>
        <w:spacing w:after="168" w:line="267" w:lineRule="auto"/>
        <w:ind w:right="0" w:hanging="283"/>
      </w:pPr>
      <w:r>
        <w:t xml:space="preserve">Céges pihenőszoba, konditerem, masszőr és </w:t>
      </w:r>
      <w:r>
        <w:rPr>
          <w:b/>
          <w:i/>
        </w:rPr>
        <w:t>egyéb, egészségmegőrzéssel, táplálkozással, testmozgással kapcsolatos szolgáltatások</w:t>
      </w:r>
      <w:r>
        <w:t xml:space="preserve"> biztosítása.</w:t>
      </w:r>
      <w:r>
        <w:t xml:space="preserve"> </w:t>
      </w:r>
    </w:p>
    <w:p w14:paraId="36298216" w14:textId="77777777" w:rsidR="003574D2" w:rsidRDefault="00AA0758">
      <w:pPr>
        <w:ind w:left="-5" w:right="0"/>
      </w:pPr>
      <w:r>
        <w:t xml:space="preserve">A pénz és utalvány </w:t>
      </w:r>
      <w:r>
        <w:t>típusú juttatások közül a leggyakoribbak:</w:t>
      </w:r>
      <w:r>
        <w:t xml:space="preserve"> </w:t>
      </w:r>
    </w:p>
    <w:p w14:paraId="7170679F" w14:textId="77777777" w:rsidR="003574D2" w:rsidRDefault="00AA0758">
      <w:pPr>
        <w:numPr>
          <w:ilvl w:val="0"/>
          <w:numId w:val="14"/>
        </w:numPr>
        <w:ind w:right="0" w:hanging="283"/>
      </w:pPr>
      <w:r>
        <w:rPr>
          <w:b/>
          <w:i/>
        </w:rPr>
        <w:t>Egészségpénztári hozzájárulás:</w:t>
      </w:r>
      <w:r>
        <w:t xml:space="preserve"> A munkáltató fizetheti a dolgozó tagdíját. Ez bérként adózik (munkavállalótól 33,5% levonás, munkáltatónak 13% szociális hozzájárulási adó), de a befizetett összeg után a munkavállaló 20% adóvisszatérítést igényelhet a NAV-tól. </w:t>
      </w:r>
      <w:r>
        <w:t xml:space="preserve"> </w:t>
      </w:r>
    </w:p>
    <w:p w14:paraId="0044329B" w14:textId="77777777" w:rsidR="003574D2" w:rsidRDefault="00AA0758">
      <w:pPr>
        <w:numPr>
          <w:ilvl w:val="0"/>
          <w:numId w:val="14"/>
        </w:numPr>
        <w:ind w:right="0" w:hanging="283"/>
      </w:pPr>
      <w:r>
        <w:rPr>
          <w:b/>
          <w:i/>
        </w:rPr>
        <w:t>Egészségbiztosítás (csoportos):</w:t>
      </w:r>
      <w:r>
        <w:t xml:space="preserve"> A munkáltató által kötött szűrővizsgálatokat vagy magánegészségügyi ellátást biztosító csomagok egyes meghatározott juttatásként (33,04% adóval</w:t>
      </w:r>
      <w:r>
        <w:rPr>
          <w:vertAlign w:val="superscript"/>
        </w:rPr>
        <w:footnoteReference w:id="6"/>
      </w:r>
      <w:r>
        <w:t xml:space="preserve">) adhatók. </w:t>
      </w:r>
      <w:r>
        <w:t xml:space="preserve"> </w:t>
      </w:r>
    </w:p>
    <w:p w14:paraId="535610E4" w14:textId="77777777" w:rsidR="003574D2" w:rsidRDefault="00AA0758">
      <w:pPr>
        <w:numPr>
          <w:ilvl w:val="0"/>
          <w:numId w:val="14"/>
        </w:numPr>
        <w:ind w:right="0" w:hanging="283"/>
      </w:pPr>
      <w:r>
        <w:rPr>
          <w:b/>
          <w:i/>
        </w:rPr>
        <w:t>Önkéntes nyugdíjpénztár:</w:t>
      </w:r>
      <w:r>
        <w:t xml:space="preserve"> Hasonlóan az egészségpénztárhoz, a munkáltatói hozzájárulás bérként adózik, de jár rá a 20%-os SZJA-visszatérítés. </w:t>
      </w:r>
      <w:r>
        <w:t xml:space="preserve"> </w:t>
      </w:r>
    </w:p>
    <w:p w14:paraId="27D2D798" w14:textId="77777777" w:rsidR="003574D2" w:rsidRDefault="00AA0758">
      <w:pPr>
        <w:numPr>
          <w:ilvl w:val="0"/>
          <w:numId w:val="14"/>
        </w:numPr>
        <w:ind w:right="0" w:hanging="283"/>
      </w:pPr>
      <w:r>
        <w:rPr>
          <w:b/>
          <w:i/>
        </w:rPr>
        <w:t>Sport- és kulturális belépők:</w:t>
      </w:r>
      <w:r>
        <w:t xml:space="preserve"> Évente a minimálbér összegéig adómentesen adható sportrendezvényre vagy kulturális eseményre szóló belépő/bérlet. </w:t>
      </w:r>
      <w:r>
        <w:t xml:space="preserve"> </w:t>
      </w:r>
    </w:p>
    <w:p w14:paraId="5EA59F22" w14:textId="77777777" w:rsidR="003574D2" w:rsidRDefault="00AA0758">
      <w:pPr>
        <w:spacing w:after="286"/>
        <w:ind w:left="-5" w:right="0"/>
      </w:pPr>
      <w:r>
        <w:t xml:space="preserve">A jó gyakorlatok alapján a mentális egészség megőrzésének támogatása érdekében a munkáltatók számára három üzenet fogalmazható meg: biztosítsanak könnyen elérhető mentális támogatást, teremtsenek valódi rugalmasságot a munkaszervezésben, és fejlesszék a vezetők mentális egészséggel kapcsolatos érzékenységét. Ezek együttesen járulnak hozzá ahhoz, hogy a dolgozók hosszú távon is képesek legyenek összehangolni munkájukat és magánéletüket. </w:t>
      </w:r>
      <w:r>
        <w:t xml:space="preserve"> </w:t>
      </w:r>
    </w:p>
    <w:p w14:paraId="12D6CF0B" w14:textId="77777777" w:rsidR="003574D2" w:rsidRDefault="00AA0758">
      <w:pPr>
        <w:spacing w:after="1572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Calibri" w:eastAsia="Calibri" w:hAnsi="Calibri" w:cs="Calibri"/>
          <w:b/>
          <w:sz w:val="32"/>
        </w:rPr>
        <w:t xml:space="preserve"> </w:t>
      </w:r>
    </w:p>
    <w:p w14:paraId="55D19DDB" w14:textId="77777777" w:rsidR="003574D2" w:rsidRDefault="00AA0758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457B5CE" wp14:editId="53E67541">
                <wp:extent cx="1829054" cy="7620"/>
                <wp:effectExtent l="0" t="0" r="0" b="0"/>
                <wp:docPr id="34219" name="Group 34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7620"/>
                          <a:chOff x="0" y="0"/>
                          <a:chExt cx="1829054" cy="7620"/>
                        </a:xfrm>
                      </wpg:grpSpPr>
                      <wps:wsp>
                        <wps:cNvPr id="36334" name="Shape 36334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219" style="width:144.02pt;height:0.599976pt;mso-position-horizontal-relative:char;mso-position-vertical-relative:line" coordsize="18290,76">
                <v:shape id="Shape 36335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Calibri" w:eastAsia="Calibri" w:hAnsi="Calibri" w:cs="Calibri"/>
        </w:rPr>
        <w:t xml:space="preserve"> </w:t>
      </w:r>
    </w:p>
    <w:p w14:paraId="65A1B1A0" w14:textId="77777777" w:rsidR="003574D2" w:rsidRDefault="00AA0758">
      <w:pPr>
        <w:pStyle w:val="Cmsor2"/>
        <w:spacing w:after="76"/>
        <w:ind w:left="-5"/>
      </w:pPr>
      <w:bookmarkStart w:id="42" w:name="_Toc35639"/>
      <w:r>
        <w:lastRenderedPageBreak/>
        <w:t>Támogatni a szociális egészség megőrzését</w:t>
      </w:r>
      <w:r>
        <w:t xml:space="preserve"> </w:t>
      </w:r>
      <w:bookmarkEnd w:id="42"/>
    </w:p>
    <w:p w14:paraId="07282384" w14:textId="77777777" w:rsidR="003574D2" w:rsidRDefault="00AA0758">
      <w:pPr>
        <w:spacing w:after="129" w:line="268" w:lineRule="auto"/>
        <w:ind w:left="-5" w:right="0"/>
        <w:jc w:val="left"/>
      </w:pPr>
      <w:r>
        <w:rPr>
          <w:rFonts w:ascii="Calibri" w:eastAsia="Calibri" w:hAnsi="Calibri" w:cs="Calibri"/>
          <w:color w:val="595959"/>
          <w:sz w:val="28"/>
        </w:rPr>
        <w:t xml:space="preserve">Avagy: az életkori szerepeket, különösen a szülői és gondozói szerepeket támogató intézkedések </w:t>
      </w:r>
    </w:p>
    <w:p w14:paraId="29E73102" w14:textId="77777777" w:rsidR="003574D2" w:rsidRDefault="00AA0758">
      <w:pPr>
        <w:ind w:left="-5" w:right="0"/>
      </w:pPr>
      <w:r>
        <w:t xml:space="preserve">A szociális egészség megőrzése érdekében a legjobb munkahelyi közeg mellett is a legtöbb ember szükséglete, hogy barátaira, családjára, és a velük kapcsolatos kötelezettségekre, elfoglaltságokra és önmagára is megfelelő ideje és energiája legyen. </w:t>
      </w:r>
      <w:r>
        <w:t xml:space="preserve"> </w:t>
      </w:r>
    </w:p>
    <w:p w14:paraId="254FDA18" w14:textId="77777777" w:rsidR="003574D2" w:rsidRDefault="00AA0758">
      <w:pPr>
        <w:ind w:left="-5" w:right="0"/>
      </w:pPr>
      <w:r>
        <w:t xml:space="preserve">A szociális egészség megőrzését alapvetően három irányból támogathatja a munkáltató: egyrészt a fentebb már részletezett, rugalmasabb típusú munkaidőszervezéssel, másrészt az egyéni, élethelyzethez igazított megoldási lehetőségek biztosításával. Az ilyen, személyre szabott megoldások közé tartozhatnak a munkaidőről szóló egyéni, ideiglenes megoldások (pl. ideiglenes rugalmasítás), a többféle elemet is tartalmazó élethelyzeti „csomagok” (kisgyermek, válás, beteg családtag), amelyből a dolgozó az adott </w:t>
      </w:r>
      <w:r>
        <w:t xml:space="preserve">helyzetben a szükségleteire leginkább reagáló elemet választhatja, illetve a belső mobilitás könnyítése, akár átmeneti jelleggel, a kevésbé terhelő munkakörök felé. A szociális egészség megőrzését harmadik irányból a szervezeti kultúrán és a vezetői hozzáálláson keresztül közelíthetjük meg, amelyek gyakran fontosabbak, mint az egyes konkrét juttatások. A szociális egészséghez hozzájárul, ha a túlóra és a munkaidőn kívüli elérhetőség nem elvárás – </w:t>
      </w:r>
      <w:r>
        <w:t xml:space="preserve">ebben pedig a vezetőknek jelentős szerepe van. Emiatt elengedhetetlen a vezetői gyakorlatba ez a szemlélet beépüljön (akár a vezetők képzésének segítségével). </w:t>
      </w:r>
      <w:r>
        <w:t xml:space="preserve"> </w:t>
      </w:r>
    </w:p>
    <w:p w14:paraId="036E7F53" w14:textId="77777777" w:rsidR="003574D2" w:rsidRDefault="00AA0758">
      <w:pPr>
        <w:ind w:left="-5" w:right="0"/>
      </w:pPr>
      <w:r>
        <w:t xml:space="preserve">A legtöbb munkáltatónál a szülői és gondozói szerepek támogatása a rugalmas munkaszervezésen, a kiterjesztett szabadságokon, a gyermekellátási és gondozási segítségen, valamint a mentálhigiénés támogatáson alapul. A leghatékonyabb megoldások egy támogató szervezeti kultúra részei, amely figyelembe veszi a munkavállalók élethelyzeteit és hosszú távon segíti a munka és magánélet egyensúlyát. A fentebb már részletezett, atipikus foglalkoztatási formákkal a munkavállalónak esélye nyílik </w:t>
      </w:r>
      <w:r>
        <w:t>a minőségi magánéletre: több idő a családra, a hobbikra és a pihenésre anélkül, hogy a karrierjét fel kellene áldoznia. E mellett a munkáltató számos, a különböző életszakaszokhoz és magánéleti helyzetekhez kötött pénzbeli és természetbeni juttatást vezethet be. Ezek közül a legnépszerűbbek (a teljesség igénye nélkül) a következők:</w:t>
      </w:r>
      <w:r>
        <w:t xml:space="preserve"> </w:t>
      </w:r>
    </w:p>
    <w:p w14:paraId="411733E5" w14:textId="77777777" w:rsidR="003574D2" w:rsidRDefault="00AA0758">
      <w:pPr>
        <w:spacing w:after="65" w:line="267" w:lineRule="auto"/>
        <w:ind w:left="-5" w:right="2405"/>
        <w:jc w:val="left"/>
      </w:pPr>
      <w:r>
        <w:rPr>
          <w:b/>
          <w:i/>
        </w:rPr>
        <w:t xml:space="preserve">Szülési és gondozási szabadságon túli támogatások </w:t>
      </w:r>
      <w:r>
        <w:t>A jogszabályi minimumon túl:</w:t>
      </w:r>
      <w:r>
        <w:t xml:space="preserve"> </w:t>
      </w:r>
    </w:p>
    <w:p w14:paraId="322EC07E" w14:textId="77777777" w:rsidR="003574D2" w:rsidRDefault="00AA0758">
      <w:pPr>
        <w:numPr>
          <w:ilvl w:val="0"/>
          <w:numId w:val="15"/>
        </w:numPr>
        <w:spacing w:after="15"/>
        <w:ind w:right="0" w:hanging="283"/>
      </w:pPr>
      <w:r>
        <w:t xml:space="preserve">extra fizetett szülői szabadság (anyáknak és apáknak is), </w:t>
      </w:r>
      <w:r>
        <w:t xml:space="preserve"> </w:t>
      </w:r>
    </w:p>
    <w:p w14:paraId="469B759E" w14:textId="77777777" w:rsidR="003574D2" w:rsidRDefault="00AA0758">
      <w:pPr>
        <w:numPr>
          <w:ilvl w:val="0"/>
          <w:numId w:val="15"/>
        </w:numPr>
        <w:spacing w:after="62"/>
        <w:ind w:right="0" w:hanging="283"/>
      </w:pPr>
      <w:r>
        <w:t xml:space="preserve">fokozatos visszatérés (pl. részmunkaidővel indulás) gyermekneveléssel összefüggő tartós távollét (pl. GYES) után, </w:t>
      </w:r>
      <w:r>
        <w:t xml:space="preserve"> </w:t>
      </w:r>
    </w:p>
    <w:p w14:paraId="54FC120D" w14:textId="77777777" w:rsidR="003574D2" w:rsidRDefault="00AA0758">
      <w:pPr>
        <w:numPr>
          <w:ilvl w:val="0"/>
          <w:numId w:val="15"/>
        </w:numPr>
        <w:spacing w:after="14"/>
        <w:ind w:right="0" w:hanging="283"/>
      </w:pPr>
      <w:r>
        <w:t xml:space="preserve">visszailleszkedést segítő programok a hosszabb kiesés után visszatérőknek, </w:t>
      </w:r>
      <w:r>
        <w:t xml:space="preserve"> </w:t>
      </w:r>
    </w:p>
    <w:p w14:paraId="654D6CE3" w14:textId="77777777" w:rsidR="003574D2" w:rsidRDefault="00AA0758">
      <w:pPr>
        <w:numPr>
          <w:ilvl w:val="0"/>
          <w:numId w:val="15"/>
        </w:numPr>
        <w:spacing w:after="59"/>
        <w:ind w:right="0" w:hanging="283"/>
      </w:pPr>
      <w:r>
        <w:t xml:space="preserve">állásgarancia vagy azonos/szintben hasonló munkakör biztosítása. </w:t>
      </w:r>
      <w:r>
        <w:t xml:space="preserve"> </w:t>
      </w:r>
      <w:r>
        <w:rPr>
          <w:b/>
          <w:i/>
        </w:rPr>
        <w:t xml:space="preserve">Gyermekellátást segítő megoldások: </w:t>
      </w:r>
    </w:p>
    <w:p w14:paraId="66573D71" w14:textId="77777777" w:rsidR="003574D2" w:rsidRDefault="00AA0758">
      <w:pPr>
        <w:numPr>
          <w:ilvl w:val="0"/>
          <w:numId w:val="15"/>
        </w:numPr>
        <w:ind w:right="0" w:hanging="283"/>
      </w:pPr>
      <w:r>
        <w:t xml:space="preserve">munkahelyi vagy támogatott bölcsőde/óvoda (a térítésidíj átvállalása jelenleg adómentes), </w:t>
      </w:r>
      <w:r>
        <w:t xml:space="preserve"> </w:t>
      </w:r>
    </w:p>
    <w:p w14:paraId="3BDD175B" w14:textId="77777777" w:rsidR="003574D2" w:rsidRDefault="00AA0758">
      <w:pPr>
        <w:numPr>
          <w:ilvl w:val="0"/>
          <w:numId w:val="15"/>
        </w:numPr>
        <w:spacing w:after="17"/>
        <w:ind w:right="0" w:hanging="283"/>
      </w:pPr>
      <w:r>
        <w:lastRenderedPageBreak/>
        <w:t xml:space="preserve">gyermekfelügyeleti támogatás (utalvány, térítés), </w:t>
      </w:r>
      <w:r>
        <w:t xml:space="preserve"> </w:t>
      </w:r>
    </w:p>
    <w:p w14:paraId="2BD5C8D7" w14:textId="77777777" w:rsidR="003574D2" w:rsidRDefault="00AA0758">
      <w:pPr>
        <w:numPr>
          <w:ilvl w:val="0"/>
          <w:numId w:val="15"/>
        </w:numPr>
        <w:spacing w:after="14"/>
        <w:ind w:right="0" w:hanging="283"/>
      </w:pPr>
      <w:r>
        <w:t xml:space="preserve">nyári táborok szervezése vagy támogatása, </w:t>
      </w:r>
      <w:r>
        <w:t xml:space="preserve"> </w:t>
      </w:r>
    </w:p>
    <w:p w14:paraId="43869E39" w14:textId="77777777" w:rsidR="003574D2" w:rsidRDefault="00AA0758">
      <w:pPr>
        <w:numPr>
          <w:ilvl w:val="0"/>
          <w:numId w:val="15"/>
        </w:numPr>
        <w:spacing w:after="16"/>
        <w:ind w:right="0" w:hanging="283"/>
      </w:pPr>
      <w:r>
        <w:t>„hozd be a gyereked” napok (iskolaszünetben),</w:t>
      </w:r>
      <w:r>
        <w:t xml:space="preserve"> </w:t>
      </w:r>
    </w:p>
    <w:p w14:paraId="1E70BA70" w14:textId="77777777" w:rsidR="003574D2" w:rsidRDefault="00AA0758">
      <w:pPr>
        <w:numPr>
          <w:ilvl w:val="0"/>
          <w:numId w:val="15"/>
        </w:numPr>
        <w:spacing w:after="62"/>
        <w:ind w:right="0" w:hanging="283"/>
      </w:pPr>
      <w:r>
        <w:t>szabadidőeltöltés, családi nyaralás támogatása (a SZÉP-kártyától a vállalati üdülőig),</w:t>
      </w:r>
      <w:r>
        <w:t xml:space="preserve"> </w:t>
      </w:r>
    </w:p>
    <w:p w14:paraId="65AD2A56" w14:textId="77777777" w:rsidR="003574D2" w:rsidRDefault="00AA0758">
      <w:pPr>
        <w:numPr>
          <w:ilvl w:val="0"/>
          <w:numId w:val="15"/>
        </w:numPr>
        <w:spacing w:after="0"/>
        <w:ind w:right="0" w:hanging="283"/>
      </w:pPr>
      <w:r>
        <w:t xml:space="preserve">iskolakezdési támogatás: jelenleg csekély értékű ajándékként adható. </w:t>
      </w:r>
      <w:r>
        <w:t xml:space="preserve"> </w:t>
      </w:r>
    </w:p>
    <w:p w14:paraId="3F3E024E" w14:textId="77777777" w:rsidR="003574D2" w:rsidRDefault="00AA0758">
      <w:pPr>
        <w:spacing w:after="64" w:line="267" w:lineRule="auto"/>
        <w:ind w:left="-5" w:right="0"/>
        <w:jc w:val="left"/>
      </w:pPr>
      <w:r>
        <w:rPr>
          <w:b/>
          <w:i/>
        </w:rPr>
        <w:t xml:space="preserve">Gondozói támogatások </w:t>
      </w:r>
    </w:p>
    <w:p w14:paraId="48EB34BD" w14:textId="77777777" w:rsidR="003574D2" w:rsidRDefault="00AA0758">
      <w:pPr>
        <w:numPr>
          <w:ilvl w:val="0"/>
          <w:numId w:val="15"/>
        </w:numPr>
        <w:spacing w:after="16"/>
        <w:ind w:right="0" w:hanging="283"/>
      </w:pPr>
      <w:r>
        <w:t xml:space="preserve">idős vagy beteg hozzátartozó ápolását segítő extra szabadság, </w:t>
      </w:r>
      <w:r>
        <w:t xml:space="preserve"> </w:t>
      </w:r>
    </w:p>
    <w:p w14:paraId="02531EAA" w14:textId="77777777" w:rsidR="003574D2" w:rsidRDefault="00AA0758">
      <w:pPr>
        <w:numPr>
          <w:ilvl w:val="0"/>
          <w:numId w:val="15"/>
        </w:numPr>
        <w:spacing w:after="14"/>
        <w:ind w:right="0" w:hanging="283"/>
      </w:pPr>
      <w:r>
        <w:t xml:space="preserve">rugalmas munkaidő krízishelyzetekben, </w:t>
      </w:r>
      <w:r>
        <w:t xml:space="preserve"> </w:t>
      </w:r>
    </w:p>
    <w:p w14:paraId="49CC17BB" w14:textId="77777777" w:rsidR="003574D2" w:rsidRDefault="00AA0758">
      <w:pPr>
        <w:numPr>
          <w:ilvl w:val="0"/>
          <w:numId w:val="15"/>
        </w:numPr>
        <w:spacing w:after="16"/>
        <w:ind w:right="0" w:hanging="283"/>
      </w:pPr>
      <w:r>
        <w:t xml:space="preserve">információs és tanácsadó szolgáltatások (pl. szociális ellátórendszerhez), </w:t>
      </w:r>
      <w:r>
        <w:t xml:space="preserve"> </w:t>
      </w:r>
    </w:p>
    <w:p w14:paraId="35B72EB6" w14:textId="77777777" w:rsidR="003574D2" w:rsidRDefault="00AA0758">
      <w:pPr>
        <w:numPr>
          <w:ilvl w:val="0"/>
          <w:numId w:val="15"/>
        </w:numPr>
        <w:spacing w:after="0"/>
        <w:ind w:right="0" w:hanging="283"/>
      </w:pPr>
      <w:r>
        <w:t xml:space="preserve">pszichológiai támogatás a gondozási terhek feldolgozásához. </w:t>
      </w:r>
      <w:r>
        <w:t xml:space="preserve"> </w:t>
      </w:r>
    </w:p>
    <w:p w14:paraId="4F87DB6D" w14:textId="77777777" w:rsidR="003574D2" w:rsidRDefault="00AA0758">
      <w:pPr>
        <w:spacing w:after="67" w:line="267" w:lineRule="auto"/>
        <w:ind w:left="-5" w:right="0"/>
        <w:jc w:val="left"/>
      </w:pPr>
      <w:r>
        <w:rPr>
          <w:b/>
          <w:i/>
        </w:rPr>
        <w:t>Egyéni szükségletekre reagáló támogatások</w:t>
      </w:r>
      <w:r>
        <w:rPr>
          <w:b/>
          <w:i/>
        </w:rPr>
        <w:t xml:space="preserve">: </w:t>
      </w:r>
    </w:p>
    <w:p w14:paraId="29F9C03D" w14:textId="77777777" w:rsidR="003574D2" w:rsidRDefault="00AA0758">
      <w:pPr>
        <w:numPr>
          <w:ilvl w:val="0"/>
          <w:numId w:val="15"/>
        </w:numPr>
        <w:spacing w:after="14"/>
        <w:ind w:right="0" w:hanging="283"/>
      </w:pPr>
      <w:r>
        <w:t>rekreációs vagy alkotói szabadság,</w:t>
      </w:r>
      <w:r>
        <w:t xml:space="preserve"> </w:t>
      </w:r>
    </w:p>
    <w:p w14:paraId="6D509D41" w14:textId="77777777" w:rsidR="003574D2" w:rsidRDefault="00AA0758">
      <w:pPr>
        <w:numPr>
          <w:ilvl w:val="0"/>
          <w:numId w:val="15"/>
        </w:numPr>
        <w:spacing w:after="16"/>
        <w:ind w:right="0" w:hanging="283"/>
      </w:pPr>
      <w:r>
        <w:t xml:space="preserve">tanulmányi szabadság (többnyire tanulmányi szerződés keretében), </w:t>
      </w:r>
      <w:r>
        <w:t xml:space="preserve"> </w:t>
      </w:r>
    </w:p>
    <w:p w14:paraId="48ADB030" w14:textId="77777777" w:rsidR="003574D2" w:rsidRDefault="00AA0758">
      <w:pPr>
        <w:numPr>
          <w:ilvl w:val="0"/>
          <w:numId w:val="15"/>
        </w:numPr>
        <w:spacing w:after="14"/>
        <w:ind w:right="0" w:hanging="283"/>
      </w:pPr>
      <w:r>
        <w:t>gyesen lévőkkel kapcsolattartás,</w:t>
      </w:r>
      <w:r>
        <w:t xml:space="preserve"> </w:t>
      </w:r>
    </w:p>
    <w:p w14:paraId="4A4CF8BB" w14:textId="77777777" w:rsidR="003574D2" w:rsidRDefault="00AA0758">
      <w:pPr>
        <w:numPr>
          <w:ilvl w:val="0"/>
          <w:numId w:val="15"/>
        </w:numPr>
        <w:spacing w:after="62"/>
        <w:ind w:right="0" w:hanging="283"/>
      </w:pPr>
      <w:r>
        <w:t>nyugdíjba vonulás előkészítése (információnyújtás, ügyintézés segítése).</w:t>
      </w:r>
      <w:r>
        <w:t xml:space="preserve"> </w:t>
      </w:r>
      <w:r>
        <w:rPr>
          <w:b/>
          <w:i/>
        </w:rPr>
        <w:t xml:space="preserve">Egyéb pénzbeli támogatások: </w:t>
      </w:r>
    </w:p>
    <w:p w14:paraId="05EEE8DE" w14:textId="77777777" w:rsidR="003574D2" w:rsidRDefault="00AA0758">
      <w:pPr>
        <w:numPr>
          <w:ilvl w:val="0"/>
          <w:numId w:val="15"/>
        </w:numPr>
        <w:spacing w:after="62"/>
        <w:ind w:right="0" w:hanging="283"/>
      </w:pPr>
      <w:r>
        <w:t>diákhitel-törlesztés (2025-től új elemként a munkáltató átvállalhatja a dolgozó diákhitelének törlesztését havi szinten a minimálbér 20%-áig adómentesen.)</w:t>
      </w:r>
      <w:r>
        <w:t xml:space="preserve"> </w:t>
      </w:r>
    </w:p>
    <w:p w14:paraId="39683257" w14:textId="77777777" w:rsidR="003574D2" w:rsidRDefault="00AA0758">
      <w:pPr>
        <w:numPr>
          <w:ilvl w:val="0"/>
          <w:numId w:val="15"/>
        </w:numPr>
        <w:spacing w:after="57" w:line="275" w:lineRule="auto"/>
        <w:ind w:right="0" w:hanging="283"/>
      </w:pPr>
      <w:r>
        <w:t xml:space="preserve">mindennapi kiadások, így az utazás </w:t>
      </w:r>
      <w:r>
        <w:t>jogszabályi előíráson túli (pl. céges munkásbusz, teljesösszegű bérlettámogatás), lakhatás támogatása (lakáshitel törlesztés támogatása vagy lakhatási (rezsi vagy albérlet) támogatás, céges albérlet)</w:t>
      </w:r>
      <w:r>
        <w:t xml:space="preserve"> </w:t>
      </w:r>
    </w:p>
    <w:p w14:paraId="6D5FF517" w14:textId="77777777" w:rsidR="003574D2" w:rsidRDefault="00AA0758">
      <w:pPr>
        <w:numPr>
          <w:ilvl w:val="0"/>
          <w:numId w:val="15"/>
        </w:numPr>
        <w:spacing w:after="5"/>
        <w:ind w:right="0" w:hanging="283"/>
      </w:pPr>
      <w:r>
        <w:t>rendkívüli pénzbeli támogatások, segélyek (betegség, hozzátartozó halála esetén), munkáltatói kölcsönök nagyobb beruházásokhoz</w:t>
      </w:r>
      <w:r>
        <w:t xml:space="preserve"> </w:t>
      </w:r>
    </w:p>
    <w:p w14:paraId="154A6A1F" w14:textId="77777777" w:rsidR="003574D2" w:rsidRDefault="00AA0758">
      <w:pPr>
        <w:spacing w:after="15" w:line="259" w:lineRule="auto"/>
        <w:ind w:left="0" w:right="0" w:firstLine="0"/>
        <w:jc w:val="left"/>
      </w:pPr>
      <w:r>
        <w:t xml:space="preserve"> </w:t>
      </w:r>
    </w:p>
    <w:p w14:paraId="62D5D6FD" w14:textId="77777777" w:rsidR="003574D2" w:rsidRDefault="00AA0758">
      <w:pPr>
        <w:ind w:left="-5" w:right="0"/>
      </w:pPr>
      <w:r>
        <w:t xml:space="preserve">A munka és magánélet egyensúlyát támogató munkáltatói intézkedések sikeres alkalmazásának záloga a kölcsönös bizalom és a folyamatos, nyílt kommunikáció. A </w:t>
      </w:r>
      <w:r>
        <w:t>boldog és kiegyensúlyozott dolgozó hatékonyabb, emellett a munka-magánélet egyensúlyának fenntartása a fluktuáció csökkentésére és a lojalitás növelésére is eszköz.</w:t>
      </w:r>
      <w:r>
        <w:t xml:space="preserve"> </w:t>
      </w:r>
    </w:p>
    <w:p w14:paraId="40A59CCC" w14:textId="77777777" w:rsidR="003574D2" w:rsidRDefault="00AA075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B04A60A" w14:textId="77777777" w:rsidR="00A87D5F" w:rsidRDefault="00A87D5F">
      <w:pPr>
        <w:spacing w:after="160" w:line="278" w:lineRule="auto"/>
        <w:ind w:left="0" w:right="0" w:firstLine="0"/>
        <w:jc w:val="left"/>
        <w:rPr>
          <w:rFonts w:ascii="Calibri" w:eastAsia="Calibri" w:hAnsi="Calibri" w:cs="Calibri"/>
          <w:b/>
          <w:sz w:val="36"/>
        </w:rPr>
      </w:pPr>
      <w:bookmarkStart w:id="43" w:name="_Toc35640"/>
      <w:r>
        <w:br w:type="page"/>
      </w:r>
    </w:p>
    <w:p w14:paraId="2C7D25BD" w14:textId="7C4F588A" w:rsidR="003574D2" w:rsidRDefault="00AA0758">
      <w:pPr>
        <w:pStyle w:val="Cmsor1"/>
        <w:numPr>
          <w:ilvl w:val="0"/>
          <w:numId w:val="0"/>
        </w:numPr>
        <w:ind w:left="-5" w:right="0"/>
      </w:pPr>
      <w:r>
        <w:lastRenderedPageBreak/>
        <w:t>IRODALOM</w:t>
      </w:r>
      <w:r>
        <w:t xml:space="preserve"> </w:t>
      </w:r>
      <w:bookmarkEnd w:id="43"/>
    </w:p>
    <w:p w14:paraId="581D7F27" w14:textId="77777777" w:rsidR="003574D2" w:rsidRDefault="00AA0758">
      <w:pPr>
        <w:spacing w:after="159" w:line="275" w:lineRule="auto"/>
        <w:ind w:left="-5" w:right="0"/>
        <w:jc w:val="left"/>
      </w:pPr>
      <w:r>
        <w:rPr>
          <w:b/>
        </w:rPr>
        <w:t>BLOOM</w:t>
      </w:r>
      <w:r>
        <w:t xml:space="preserve">, N. – </w:t>
      </w:r>
      <w:r>
        <w:rPr>
          <w:b/>
        </w:rPr>
        <w:t>HAN</w:t>
      </w:r>
      <w:r>
        <w:t xml:space="preserve">, R. – </w:t>
      </w:r>
      <w:r>
        <w:rPr>
          <w:b/>
        </w:rPr>
        <w:t>LIANG</w:t>
      </w:r>
      <w:r>
        <w:t xml:space="preserve">, J. (2024): </w:t>
      </w:r>
      <w:r>
        <w:rPr>
          <w:i/>
        </w:rPr>
        <w:t>Hybrid working from home improves retention without damaging performance</w:t>
      </w:r>
      <w:r>
        <w:t xml:space="preserve">. Nature, 630, 920–925. https://doi.org/10.1038/s41586-024-07500-2 </w:t>
      </w:r>
      <w:r>
        <w:t xml:space="preserve"> </w:t>
      </w:r>
    </w:p>
    <w:p w14:paraId="7EA3DD8C" w14:textId="77777777" w:rsidR="003574D2" w:rsidRDefault="00AA0758">
      <w:pPr>
        <w:spacing w:after="127"/>
        <w:ind w:left="-5" w:right="0"/>
      </w:pPr>
      <w:r>
        <w:rPr>
          <w:b/>
        </w:rPr>
        <w:t>CHISHOLM</w:t>
      </w:r>
      <w:r>
        <w:t xml:space="preserve">, D. – </w:t>
      </w:r>
      <w:r>
        <w:rPr>
          <w:b/>
        </w:rPr>
        <w:t>SWEENY</w:t>
      </w:r>
      <w:r>
        <w:t xml:space="preserve">, K. – </w:t>
      </w:r>
      <w:r>
        <w:rPr>
          <w:b/>
        </w:rPr>
        <w:t>SHEEHAN</w:t>
      </w:r>
      <w:r>
        <w:t xml:space="preserve">, P. – </w:t>
      </w:r>
      <w:r>
        <w:rPr>
          <w:b/>
        </w:rPr>
        <w:t>RASMUSSEN</w:t>
      </w:r>
      <w:r>
        <w:t xml:space="preserve">, B. – </w:t>
      </w:r>
      <w:r>
        <w:rPr>
          <w:b/>
        </w:rPr>
        <w:t>SMIT</w:t>
      </w:r>
      <w:r>
        <w:t xml:space="preserve">, F. – </w:t>
      </w:r>
      <w:r>
        <w:rPr>
          <w:b/>
        </w:rPr>
        <w:t>CUIJPERS</w:t>
      </w:r>
      <w:r>
        <w:t xml:space="preserve">, P. – </w:t>
      </w:r>
      <w:r>
        <w:rPr>
          <w:b/>
        </w:rPr>
        <w:t>SAXENA</w:t>
      </w:r>
      <w:r>
        <w:t>, S. (2016). Scaling-</w:t>
      </w:r>
      <w:r>
        <w:t xml:space="preserve">up treatment of depression and anxiety: A global return on investment analysis. </w:t>
      </w:r>
      <w:r>
        <w:rPr>
          <w:i/>
        </w:rPr>
        <w:t>The Lancet Psychiatry</w:t>
      </w:r>
      <w:r>
        <w:t xml:space="preserve">, </w:t>
      </w:r>
      <w:r>
        <w:rPr>
          <w:i/>
        </w:rPr>
        <w:t>3</w:t>
      </w:r>
      <w:r>
        <w:t>(5), 415–424.</w:t>
      </w:r>
      <w:r>
        <w:t xml:space="preserve"> </w:t>
      </w:r>
    </w:p>
    <w:p w14:paraId="6F7730A7" w14:textId="77777777" w:rsidR="003574D2" w:rsidRDefault="00AA0758">
      <w:pPr>
        <w:spacing w:after="148" w:line="248" w:lineRule="auto"/>
        <w:ind w:left="-5" w:right="0"/>
      </w:pPr>
      <w:r>
        <w:rPr>
          <w:b/>
        </w:rPr>
        <w:t>DELOITTE</w:t>
      </w:r>
      <w:r>
        <w:t xml:space="preserve">. (2020). </w:t>
      </w:r>
      <w:r>
        <w:rPr>
          <w:i/>
        </w:rPr>
        <w:t>Mental health and employers: Refreshing the case for investment</w:t>
      </w:r>
      <w:r>
        <w:t>. Deloitte LLP. deloitte.com</w:t>
      </w:r>
      <w:r>
        <w:t xml:space="preserve"> </w:t>
      </w:r>
    </w:p>
    <w:p w14:paraId="4A926CFB" w14:textId="77777777" w:rsidR="003574D2" w:rsidRDefault="00AA0758">
      <w:pPr>
        <w:spacing w:after="0" w:line="248" w:lineRule="auto"/>
        <w:ind w:left="-5" w:right="0"/>
      </w:pPr>
      <w:r>
        <w:rPr>
          <w:b/>
        </w:rPr>
        <w:t xml:space="preserve">ERDÉLYI, </w:t>
      </w:r>
      <w:r>
        <w:t xml:space="preserve">D. (2024): </w:t>
      </w:r>
      <w:r>
        <w:rPr>
          <w:i/>
        </w:rPr>
        <w:t>Mennyit pihenünk egy évben? – Szabadnapok Európában és Magyarországon</w:t>
      </w:r>
      <w:r>
        <w:t xml:space="preserve">. Oeconomus Gazdaságkutató Alapítvány. Elérhető: </w:t>
      </w:r>
    </w:p>
    <w:p w14:paraId="6E6BABD4" w14:textId="77777777" w:rsidR="003574D2" w:rsidRDefault="00AA0758">
      <w:pPr>
        <w:spacing w:after="127"/>
        <w:ind w:left="-5" w:right="0"/>
      </w:pPr>
      <w:r>
        <w:t>https://www.oeconomus.hu/oecoglobus/mennyit-pihenunk-egy-evbenszabadnapok-europaban-es-magyarorszagon/ (Utolsó letöltés: 2026. 05. 22.)</w:t>
      </w:r>
      <w:r>
        <w:t xml:space="preserve"> </w:t>
      </w:r>
    </w:p>
    <w:p w14:paraId="33ABCB45" w14:textId="77777777" w:rsidR="003574D2" w:rsidRDefault="00AA0758">
      <w:pPr>
        <w:spacing w:after="0" w:line="248" w:lineRule="auto"/>
        <w:ind w:left="-5" w:right="0"/>
      </w:pPr>
      <w:r>
        <w:rPr>
          <w:b/>
        </w:rPr>
        <w:t xml:space="preserve">ERDÉLYI, </w:t>
      </w:r>
      <w:r>
        <w:t xml:space="preserve">D. (2024b): </w:t>
      </w:r>
      <w:r>
        <w:rPr>
          <w:i/>
        </w:rPr>
        <w:t>Mennyit dolgozunk otthonról? – Otthoni munkavégzés Európában és Magyarországon</w:t>
      </w:r>
      <w:r>
        <w:t xml:space="preserve">. Oeconomus Gazdaságkutató Alapítvány. Elérhető: </w:t>
      </w:r>
    </w:p>
    <w:p w14:paraId="60A1D53B" w14:textId="77777777" w:rsidR="003574D2" w:rsidRDefault="00AA0758">
      <w:pPr>
        <w:spacing w:after="127"/>
        <w:ind w:left="-5" w:right="0"/>
      </w:pPr>
      <w:r>
        <w:t>https://www.oeconomus.hu/oecoglobus/mennyit-dolgozunk-otthonrol-otthonimunkavegzes-europaban-es-magyarorszagon/ (Utolsó letöltés: 2026. 05. 22.)</w:t>
      </w:r>
      <w:r>
        <w:t xml:space="preserve"> </w:t>
      </w:r>
    </w:p>
    <w:p w14:paraId="3B7E16FE" w14:textId="77777777" w:rsidR="003574D2" w:rsidRDefault="00AA0758">
      <w:pPr>
        <w:spacing w:after="122" w:line="275" w:lineRule="auto"/>
        <w:ind w:left="-5" w:right="0"/>
        <w:jc w:val="left"/>
      </w:pPr>
      <w:r>
        <w:rPr>
          <w:b/>
        </w:rPr>
        <w:t xml:space="preserve">ERDÉLYI, </w:t>
      </w:r>
      <w:r>
        <w:t xml:space="preserve">D. (2025): </w:t>
      </w:r>
      <w:r>
        <w:rPr>
          <w:i/>
        </w:rPr>
        <w:t>Az élet a munkáért vagy a munka az életért? – Egyre fontosabb a munka-magánélet egyensúlya</w:t>
      </w:r>
      <w:r>
        <w:t xml:space="preserve">. Oeconomus Gazdaságkutató Alapítvány. Elérhető: </w:t>
      </w:r>
      <w:r>
        <w:tab/>
        <w:t>https://www.oeconomus.hu/oecoglobus/az-elet-a-munkaert-</w:t>
      </w:r>
      <w:r>
        <w:t>vagy-amunka-az-eletert-egyre-fontosabb-a-munka-maganelet-egyensulya/ (Utolsó letöltés: 2026. 05. 22.)</w:t>
      </w:r>
      <w:r>
        <w:t xml:space="preserve"> </w:t>
      </w:r>
    </w:p>
    <w:p w14:paraId="6F44F0F4" w14:textId="77777777" w:rsidR="003574D2" w:rsidRDefault="00AA0758">
      <w:pPr>
        <w:spacing w:after="0" w:line="248" w:lineRule="auto"/>
        <w:ind w:left="-5" w:right="0"/>
      </w:pPr>
      <w:r>
        <w:rPr>
          <w:b/>
        </w:rPr>
        <w:t>EUROSTAT</w:t>
      </w:r>
      <w:r>
        <w:t xml:space="preserve"> (2024): </w:t>
      </w:r>
      <w:r>
        <w:rPr>
          <w:i/>
        </w:rPr>
        <w:t>Employed persons working from home as a percentage of total employment, by sex, age and professional status</w:t>
      </w:r>
      <w:r>
        <w:t xml:space="preserve">. Elérhető: </w:t>
      </w:r>
    </w:p>
    <w:p w14:paraId="42DCA2F2" w14:textId="77777777" w:rsidR="003574D2" w:rsidRDefault="00AA0758">
      <w:pPr>
        <w:spacing w:after="127"/>
        <w:ind w:left="-5" w:right="0"/>
      </w:pPr>
      <w:r>
        <w:t>https://ec.europa.eu/eurostat/databrowser/view/lfsa_ehomp__custom_17688296/ default/table (Utolsó letöltés: 2026. 05. 22.)</w:t>
      </w:r>
      <w:r>
        <w:t xml:space="preserve"> </w:t>
      </w:r>
    </w:p>
    <w:p w14:paraId="256403BE" w14:textId="77777777" w:rsidR="003574D2" w:rsidRDefault="00AA0758">
      <w:pPr>
        <w:spacing w:after="127"/>
        <w:ind w:left="-5" w:right="0"/>
      </w:pPr>
      <w:r>
        <w:rPr>
          <w:b/>
        </w:rPr>
        <w:t>GUEST</w:t>
      </w:r>
      <w:r>
        <w:t xml:space="preserve">, David E. (2002): </w:t>
      </w:r>
      <w:r>
        <w:rPr>
          <w:i/>
        </w:rPr>
        <w:t>Perspectives on the study of work-life balance</w:t>
      </w:r>
      <w:r>
        <w:t>. Social Science Information, 41(2), 255–279. o.</w:t>
      </w:r>
      <w:r>
        <w:t xml:space="preserve"> </w:t>
      </w:r>
    </w:p>
    <w:p w14:paraId="08F06419" w14:textId="77777777" w:rsidR="003574D2" w:rsidRDefault="00AA0758">
      <w:pPr>
        <w:spacing w:after="0"/>
        <w:ind w:left="-5" w:right="0"/>
      </w:pPr>
      <w:r>
        <w:rPr>
          <w:b/>
        </w:rPr>
        <w:t>HORVÁTH</w:t>
      </w:r>
      <w:r>
        <w:t xml:space="preserve"> </w:t>
      </w:r>
      <w:r>
        <w:t xml:space="preserve">Sebestyén (2025): Munkaerőpiaci kihívások és jövőbeli tendenciák: Új korszak kezdődött, amely új kihívásokat is jelent. Elérhető: </w:t>
      </w:r>
    </w:p>
    <w:p w14:paraId="093CBEEB" w14:textId="77777777" w:rsidR="003574D2" w:rsidRDefault="00AA0758">
      <w:pPr>
        <w:spacing w:after="127"/>
        <w:ind w:left="-5" w:right="0"/>
      </w:pPr>
      <w:r>
        <w:t>https://www.oeconomus.hu/rendezveny/munkaeropiaci-kihivasok-es-jovobelitendenciak-uj-korszak-kezdodott-amely-uj-kihivasokat-is-jelent/ (Utolsó letöltés: 2026. 05. 22.)</w:t>
      </w:r>
      <w:r>
        <w:t xml:space="preserve"> </w:t>
      </w:r>
    </w:p>
    <w:p w14:paraId="7A74FACF" w14:textId="77777777" w:rsidR="003574D2" w:rsidRDefault="00AA0758">
      <w:pPr>
        <w:spacing w:after="148" w:line="248" w:lineRule="auto"/>
        <w:ind w:left="-5" w:right="0"/>
      </w:pPr>
      <w:r>
        <w:rPr>
          <w:b/>
        </w:rPr>
        <w:t>JUHÁSZ</w:t>
      </w:r>
      <w:r>
        <w:t xml:space="preserve"> Tímea (2012): </w:t>
      </w:r>
      <w:r>
        <w:rPr>
          <w:i/>
        </w:rPr>
        <w:t>Nők a munkaerőpiacon – a munka és a magánélet összehangolásának kérdései</w:t>
      </w:r>
      <w:r>
        <w:t>. Doktori értekezés. Gödöllő: Szent István Egyetem</w:t>
      </w:r>
      <w:r>
        <w:t xml:space="preserve"> </w:t>
      </w:r>
    </w:p>
    <w:p w14:paraId="74C6D54D" w14:textId="77777777" w:rsidR="003574D2" w:rsidRDefault="00AA0758">
      <w:pPr>
        <w:spacing w:after="148" w:line="248" w:lineRule="auto"/>
        <w:ind w:left="-5" w:right="0"/>
      </w:pPr>
      <w:r>
        <w:rPr>
          <w:b/>
        </w:rPr>
        <w:t>JUHÁSZ</w:t>
      </w:r>
      <w:r>
        <w:t xml:space="preserve"> Tímea (2021): </w:t>
      </w:r>
      <w:r>
        <w:rPr>
          <w:i/>
        </w:rPr>
        <w:t>A munka-</w:t>
      </w:r>
      <w:r>
        <w:rPr>
          <w:i/>
        </w:rPr>
        <w:t>magánélet egyensúlyának kérdései: Elméletek és gyakorlati megoldások</w:t>
      </w:r>
      <w:r>
        <w:t>. Budapest: Akadémiai Kiadó.</w:t>
      </w:r>
      <w:r>
        <w:t xml:space="preserve"> </w:t>
      </w:r>
    </w:p>
    <w:p w14:paraId="0AF1DFCA" w14:textId="77777777" w:rsidR="003574D2" w:rsidRDefault="00AA0758">
      <w:pPr>
        <w:spacing w:after="148" w:line="248" w:lineRule="auto"/>
        <w:ind w:left="-5" w:right="0"/>
      </w:pPr>
      <w:r>
        <w:rPr>
          <w:b/>
        </w:rPr>
        <w:t>KOVÁCS-BERÉNYI</w:t>
      </w:r>
      <w:r>
        <w:t xml:space="preserve"> Laura (2020): </w:t>
      </w:r>
      <w:r>
        <w:rPr>
          <w:i/>
        </w:rPr>
        <w:t>Munka-magánélet egyensúly és a családbarát szemlélet vizsgálata a hazai kis- és középvállalkozások körében</w:t>
      </w:r>
      <w:r>
        <w:t>. Doktori értekezés. Miskolc: Miskolci Egyetem, Gazdaságtudományi Kar.</w:t>
      </w:r>
      <w:r>
        <w:t xml:space="preserve"> </w:t>
      </w:r>
    </w:p>
    <w:p w14:paraId="7C2302C0" w14:textId="77777777" w:rsidR="003574D2" w:rsidRDefault="00AA0758">
      <w:pPr>
        <w:spacing w:after="11" w:line="248" w:lineRule="auto"/>
        <w:ind w:left="-5" w:right="0"/>
      </w:pPr>
      <w:r>
        <w:rPr>
          <w:b/>
        </w:rPr>
        <w:lastRenderedPageBreak/>
        <w:t>MELLNER</w:t>
      </w:r>
      <w:r>
        <w:t xml:space="preserve">, Christina (2016): </w:t>
      </w:r>
      <w:r>
        <w:rPr>
          <w:i/>
        </w:rPr>
        <w:t>After-hours availability and boundary management</w:t>
      </w:r>
      <w:r>
        <w:t xml:space="preserve">. </w:t>
      </w:r>
    </w:p>
    <w:p w14:paraId="662D6CB2" w14:textId="77777777" w:rsidR="003574D2" w:rsidRDefault="00AA0758">
      <w:pPr>
        <w:ind w:left="-5" w:right="0"/>
      </w:pPr>
      <w:r>
        <w:t>International Journal of Workplace Health Management, 9(2), 235–256. o.</w:t>
      </w:r>
      <w:r>
        <w:t xml:space="preserve"> </w:t>
      </w:r>
    </w:p>
    <w:p w14:paraId="77AFC6B2" w14:textId="77777777" w:rsidR="003574D2" w:rsidRDefault="00AA0758">
      <w:pPr>
        <w:spacing w:after="11" w:line="248" w:lineRule="auto"/>
        <w:ind w:left="-5" w:right="0"/>
      </w:pPr>
      <w:r>
        <w:rPr>
          <w:b/>
        </w:rPr>
        <w:t>NÉMETH</w:t>
      </w:r>
      <w:r>
        <w:t xml:space="preserve"> Viktória (2024): </w:t>
      </w:r>
      <w:r>
        <w:rPr>
          <w:i/>
        </w:rPr>
        <w:t>A munkahelyi kiégés nemzetközi válsággá változott</w:t>
      </w:r>
      <w:r>
        <w:t xml:space="preserve">. </w:t>
      </w:r>
    </w:p>
    <w:p w14:paraId="2D66994B" w14:textId="77777777" w:rsidR="003574D2" w:rsidRDefault="00AA0758">
      <w:pPr>
        <w:tabs>
          <w:tab w:val="center" w:pos="3415"/>
          <w:tab w:val="center" w:pos="6175"/>
          <w:tab w:val="right" w:pos="9077"/>
        </w:tabs>
        <w:spacing w:after="0"/>
        <w:ind w:left="-15" w:right="0" w:firstLine="0"/>
        <w:jc w:val="left"/>
      </w:pPr>
      <w:r>
        <w:t xml:space="preserve">Oeconomus </w:t>
      </w:r>
      <w:r>
        <w:tab/>
        <w:t xml:space="preserve">Gazdaságkutató </w:t>
      </w:r>
      <w:r>
        <w:tab/>
        <w:t xml:space="preserve">Alapítvány. </w:t>
      </w:r>
      <w:r>
        <w:tab/>
        <w:t xml:space="preserve">Elérhető: </w:t>
      </w:r>
    </w:p>
    <w:p w14:paraId="5413AB2F" w14:textId="77777777" w:rsidR="003574D2" w:rsidRDefault="00AA0758">
      <w:pPr>
        <w:spacing w:after="127"/>
        <w:ind w:left="-5" w:right="0"/>
      </w:pPr>
      <w:r>
        <w:t>https://www.oeconomus.hu/oecobright/a-munkahelyi-kieges-nemzetkozi-valsaggavaltozott/ (Utolsó letöltés: 2026. 05. 22.)</w:t>
      </w:r>
      <w:r>
        <w:t xml:space="preserve"> </w:t>
      </w:r>
    </w:p>
    <w:p w14:paraId="119B1B38" w14:textId="77777777" w:rsidR="003574D2" w:rsidRDefault="00AA0758">
      <w:pPr>
        <w:spacing w:after="127"/>
        <w:ind w:left="-5" w:right="0"/>
      </w:pPr>
      <w:r>
        <w:rPr>
          <w:b/>
        </w:rPr>
        <w:t>ORSZÁG-NOVÁK</w:t>
      </w:r>
      <w:r>
        <w:t>, E.</w:t>
      </w:r>
      <w:r>
        <w:t xml:space="preserve"> </w:t>
      </w:r>
      <w:r>
        <w:t>–</w:t>
      </w:r>
      <w:r>
        <w:t xml:space="preserve"> </w:t>
      </w:r>
      <w:r>
        <w:rPr>
          <w:b/>
        </w:rPr>
        <w:t>MÁTAY</w:t>
      </w:r>
      <w:r>
        <w:t>, G.</w:t>
      </w:r>
      <w:r>
        <w:t xml:space="preserve"> </w:t>
      </w:r>
      <w:r>
        <w:t>–</w:t>
      </w:r>
      <w:r>
        <w:t xml:space="preserve"> </w:t>
      </w:r>
      <w:r>
        <w:rPr>
          <w:b/>
        </w:rPr>
        <w:t>CSÁSZÁR-NAGY</w:t>
      </w:r>
      <w:r>
        <w:t xml:space="preserve">, N. (2024): </w:t>
      </w:r>
      <w:r>
        <w:rPr>
          <w:i/>
        </w:rPr>
        <w:t>A dolgozók mentális jóllétének támogatása.</w:t>
      </w:r>
      <w:r>
        <w:t xml:space="preserve"> Pro Publico Bono</w:t>
      </w:r>
      <w:r>
        <w:t xml:space="preserve"> </w:t>
      </w:r>
      <w:r>
        <w:t>–</w:t>
      </w:r>
      <w:r>
        <w:t xml:space="preserve"> </w:t>
      </w:r>
      <w:r>
        <w:t xml:space="preserve">Magyar Közigazgatás, 2024/3., 79–113. • DOI: 10.32575/ppb.2024.3.4 </w:t>
      </w:r>
      <w:r>
        <w:t xml:space="preserve"> </w:t>
      </w:r>
    </w:p>
    <w:p w14:paraId="066FF177" w14:textId="77777777" w:rsidR="003574D2" w:rsidRDefault="00AA0758">
      <w:pPr>
        <w:spacing w:after="148" w:line="248" w:lineRule="auto"/>
        <w:ind w:left="-5" w:right="0"/>
      </w:pPr>
      <w:r>
        <w:rPr>
          <w:b/>
        </w:rPr>
        <w:t>OWEN</w:t>
      </w:r>
      <w:r>
        <w:t xml:space="preserve">, Robert (1817): </w:t>
      </w:r>
      <w:r>
        <w:rPr>
          <w:i/>
        </w:rPr>
        <w:t>To the British Master Manufacturers</w:t>
      </w:r>
      <w:r>
        <w:t>. London.</w:t>
      </w:r>
      <w:r>
        <w:t xml:space="preserve"> </w:t>
      </w:r>
    </w:p>
    <w:p w14:paraId="0F8F059A" w14:textId="77777777" w:rsidR="003574D2" w:rsidRDefault="00AA0758">
      <w:pPr>
        <w:spacing w:after="127"/>
        <w:ind w:left="-5" w:right="0"/>
      </w:pPr>
      <w:r>
        <w:rPr>
          <w:b/>
        </w:rPr>
        <w:t>POLÁNYI</w:t>
      </w:r>
      <w:r>
        <w:t xml:space="preserve"> Károly (2004): </w:t>
      </w:r>
      <w:r>
        <w:rPr>
          <w:i/>
        </w:rPr>
        <w:t>A nagy átalakulás. Korunk gazdasági és politikai eredete</w:t>
      </w:r>
      <w:r>
        <w:t>. Budapest: Napvilág Kiadó. ISBN 9789639350434.</w:t>
      </w:r>
      <w:r>
        <w:t xml:space="preserve"> </w:t>
      </w:r>
    </w:p>
    <w:p w14:paraId="7CD68E3A" w14:textId="77777777" w:rsidR="003574D2" w:rsidRDefault="00AA0758">
      <w:pPr>
        <w:spacing w:after="125"/>
        <w:ind w:left="-5" w:right="0"/>
      </w:pPr>
      <w:r>
        <w:rPr>
          <w:b/>
        </w:rPr>
        <w:t>RANDSTAD</w:t>
      </w:r>
      <w:r>
        <w:t xml:space="preserve"> (2025): </w:t>
      </w:r>
      <w:r>
        <w:rPr>
          <w:i/>
        </w:rPr>
        <w:t>Work-life balance tops pay, Randstad’s Workmonitor reveals</w:t>
      </w:r>
      <w:r>
        <w:t>. [Sajtóközlemény]. Elérhető: https://www.randstad.com/press/2025/work-lifebalance-tops-pay-randstads-workmonitor-reveals/ (Utolsó letöltés: 2026. 05. 22.)</w:t>
      </w:r>
      <w:r>
        <w:t xml:space="preserve"> </w:t>
      </w:r>
    </w:p>
    <w:p w14:paraId="4E1B4A7E" w14:textId="77777777" w:rsidR="003574D2" w:rsidRDefault="00AA0758">
      <w:pPr>
        <w:spacing w:after="121" w:line="275" w:lineRule="auto"/>
        <w:ind w:left="-5" w:right="0"/>
        <w:jc w:val="left"/>
      </w:pPr>
      <w:r>
        <w:rPr>
          <w:b/>
        </w:rPr>
        <w:t>REMOTE</w:t>
      </w:r>
      <w:r>
        <w:t xml:space="preserve"> (é. n.): </w:t>
      </w:r>
      <w:r>
        <w:rPr>
          <w:i/>
        </w:rPr>
        <w:t>Global Life-Work Balance Index</w:t>
      </w:r>
      <w:r>
        <w:t xml:space="preserve">. [Kutatási jelentés]. Elérhető: https://remote.com/resources/research/global-life-work-balance-index </w:t>
      </w:r>
      <w:r>
        <w:tab/>
      </w:r>
      <w:r>
        <w:t>(Utolsó letöltés: 2026. 05. 22.)</w:t>
      </w:r>
      <w:r>
        <w:t xml:space="preserve"> </w:t>
      </w:r>
    </w:p>
    <w:p w14:paraId="0805B4B2" w14:textId="77777777" w:rsidR="003574D2" w:rsidRDefault="00AA0758">
      <w:pPr>
        <w:spacing w:after="159" w:line="275" w:lineRule="auto"/>
        <w:ind w:left="-5" w:right="0"/>
        <w:jc w:val="left"/>
      </w:pPr>
      <w:r>
        <w:rPr>
          <w:b/>
        </w:rPr>
        <w:t>RHYMER</w:t>
      </w:r>
      <w:r>
        <w:t xml:space="preserve">, J. (2024): Expert commentary on hybrid work and employee wellbeing. In: </w:t>
      </w:r>
      <w:r>
        <w:rPr>
          <w:i/>
        </w:rPr>
        <w:t>Hybrid working makes employees happier, healthier and more productive, study shows</w:t>
      </w:r>
      <w:r>
        <w:t xml:space="preserve">. The Guardian, 2024. June 16. </w:t>
      </w:r>
      <w:r>
        <w:t xml:space="preserve"> </w:t>
      </w:r>
    </w:p>
    <w:p w14:paraId="5DF1B9E0" w14:textId="77777777" w:rsidR="003574D2" w:rsidRDefault="00AA0758">
      <w:pPr>
        <w:spacing w:after="0"/>
        <w:ind w:left="-5" w:right="0"/>
      </w:pPr>
      <w:r>
        <w:rPr>
          <w:b/>
        </w:rPr>
        <w:t>STABILE</w:t>
      </w:r>
      <w:r>
        <w:t xml:space="preserve">, M. – </w:t>
      </w:r>
      <w:r>
        <w:rPr>
          <w:b/>
        </w:rPr>
        <w:t>HENRY</w:t>
      </w:r>
      <w:r>
        <w:t xml:space="preserve">, B. – </w:t>
      </w:r>
      <w:r>
        <w:rPr>
          <w:b/>
        </w:rPr>
        <w:t>BENNEDSEN</w:t>
      </w:r>
      <w:r>
        <w:t xml:space="preserve">, M. (2023): </w:t>
      </w:r>
      <w:r>
        <w:rPr>
          <w:i/>
        </w:rPr>
        <w:t>Kongō Gumi: The Oldest Continuously Operating Business</w:t>
      </w:r>
      <w:r>
        <w:t xml:space="preserve">. Case Study. INSEAD. Elérhető: </w:t>
      </w:r>
    </w:p>
    <w:p w14:paraId="1D749C78" w14:textId="77777777" w:rsidR="003574D2" w:rsidRDefault="00AA0758">
      <w:pPr>
        <w:spacing w:after="124"/>
        <w:ind w:left="-5" w:right="0"/>
      </w:pPr>
      <w:r>
        <w:t>https://hbsp.harvard.edu/product/IN1940-PDF-ENG (Utolsó letöltés: 2026. 05. 22.)</w:t>
      </w:r>
      <w:r>
        <w:t xml:space="preserve"> </w:t>
      </w:r>
    </w:p>
    <w:p w14:paraId="1DA3761F" w14:textId="77777777" w:rsidR="003574D2" w:rsidRDefault="00AA0758">
      <w:pPr>
        <w:spacing w:after="159" w:line="275" w:lineRule="auto"/>
        <w:ind w:left="-5" w:right="0"/>
        <w:jc w:val="left"/>
      </w:pPr>
      <w:r>
        <w:rPr>
          <w:b/>
        </w:rPr>
        <w:t>THE GUARDIAN</w:t>
      </w:r>
      <w:r>
        <w:t xml:space="preserve"> </w:t>
      </w:r>
      <w:r>
        <w:t>(2024) Hybrid working makes employees happier, healthier and more productive, study shows, 16 June. Elérhető: The Guardian website (Utolsó letöltés: 2026. 06. 04.)</w:t>
      </w:r>
      <w:r>
        <w:t xml:space="preserve"> </w:t>
      </w:r>
    </w:p>
    <w:p w14:paraId="22F74487" w14:textId="77777777" w:rsidR="003574D2" w:rsidRDefault="00AA0758">
      <w:pPr>
        <w:spacing w:after="127"/>
        <w:ind w:left="-5" w:right="0"/>
      </w:pPr>
      <w:r>
        <w:rPr>
          <w:b/>
        </w:rPr>
        <w:t>THE WHITE HOUSE</w:t>
      </w:r>
      <w:r>
        <w:t xml:space="preserve"> (2014): </w:t>
      </w:r>
      <w:r>
        <w:rPr>
          <w:i/>
        </w:rPr>
        <w:t>Workplace Flexibility: Report by the Council of Economic Advisers</w:t>
      </w:r>
      <w:r>
        <w:t>. Washington D.C.: Obama White House Archives. Elérhető: https://obamawhitehouse.archives.gov/sites/default/files/docs/updated_workplace _flex_report_final_0.pdf (Utolsó letöltés: 2026. 05. 22.)</w:t>
      </w:r>
      <w:r>
        <w:t xml:space="preserve"> </w:t>
      </w:r>
    </w:p>
    <w:p w14:paraId="030CAA8A" w14:textId="77777777" w:rsidR="003574D2" w:rsidRDefault="00AA0758">
      <w:pPr>
        <w:spacing w:after="178" w:line="259" w:lineRule="auto"/>
        <w:ind w:left="0" w:right="0" w:firstLine="0"/>
        <w:jc w:val="left"/>
      </w:pPr>
      <w:r>
        <w:rPr>
          <w:b/>
        </w:rPr>
        <w:t>HONLAPOK:</w:t>
      </w:r>
      <w:r>
        <w:rPr>
          <w:b/>
          <w:color w:val="FF0000"/>
        </w:rPr>
        <w:t xml:space="preserve"> </w:t>
      </w:r>
    </w:p>
    <w:p w14:paraId="17F72C27" w14:textId="77777777" w:rsidR="003574D2" w:rsidRDefault="00AA0758">
      <w:pPr>
        <w:spacing w:after="0"/>
        <w:ind w:left="-5" w:right="0"/>
      </w:pPr>
      <w:r>
        <w:t>https://careers.microsoft.com/v2/global/en/benefits</w:t>
      </w:r>
      <w:r>
        <w:t xml:space="preserve"> </w:t>
      </w:r>
      <w:r>
        <w:t>https://careers.allianz.com/global/en/health-and-well-being</w:t>
      </w:r>
      <w:r>
        <w:t xml:space="preserve"> </w:t>
      </w:r>
    </w:p>
    <w:p w14:paraId="00659A9B" w14:textId="77777777" w:rsidR="003574D2" w:rsidRDefault="00AA0758">
      <w:pPr>
        <w:spacing w:after="0"/>
        <w:ind w:left="-5" w:right="0"/>
      </w:pPr>
      <w:r>
        <w:t>https://www.gsk.com/en-gb/careers/</w:t>
      </w:r>
      <w:r>
        <w:t xml:space="preserve"> </w:t>
      </w:r>
    </w:p>
    <w:p w14:paraId="54E8ECE5" w14:textId="77777777" w:rsidR="003574D2" w:rsidRDefault="00AA0758">
      <w:pPr>
        <w:spacing w:after="0"/>
        <w:ind w:left="-5" w:right="0"/>
      </w:pPr>
      <w:r>
        <w:t>https://careers.unit4.com/</w:t>
      </w:r>
      <w:r>
        <w:t xml:space="preserve"> </w:t>
      </w:r>
    </w:p>
    <w:p w14:paraId="06D4FD11" w14:textId="77777777" w:rsidR="003574D2" w:rsidRDefault="00AA0758">
      <w:pPr>
        <w:spacing w:after="0"/>
        <w:ind w:left="-5" w:right="0"/>
      </w:pPr>
      <w:r>
        <w:t>https://www.experian.com/careers/experian-life</w:t>
      </w:r>
      <w:r>
        <w:t xml:space="preserve"> </w:t>
      </w:r>
    </w:p>
    <w:p w14:paraId="0F8C5D2F" w14:textId="312ED45C" w:rsidR="003574D2" w:rsidRDefault="00AA0758" w:rsidP="00A87D5F">
      <w:pPr>
        <w:spacing w:after="0"/>
        <w:ind w:left="-5" w:right="0"/>
      </w:pPr>
      <w:r>
        <w:t>https://www.t-systems.com/gb/en/company/careers/why-t-systems/work-lifebalance</w:t>
      </w:r>
      <w:r>
        <w:t xml:space="preserve"> </w:t>
      </w:r>
    </w:p>
    <w:p w14:paraId="16DF8561" w14:textId="4C628381" w:rsidR="003574D2" w:rsidRDefault="00AA0758">
      <w:pPr>
        <w:spacing w:after="0" w:line="379" w:lineRule="auto"/>
        <w:ind w:left="0" w:right="9019" w:firstLine="0"/>
        <w:jc w:val="left"/>
      </w:pPr>
      <w:r>
        <w:t xml:space="preserve"> </w:t>
      </w:r>
    </w:p>
    <w:sectPr w:rsidR="003574D2">
      <w:pgSz w:w="11906" w:h="16838"/>
      <w:pgMar w:top="1416" w:right="1413" w:bottom="1416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595C9" w14:textId="77777777" w:rsidR="00AA0758" w:rsidRDefault="00AA0758">
      <w:pPr>
        <w:spacing w:after="0" w:line="240" w:lineRule="auto"/>
      </w:pPr>
      <w:r>
        <w:separator/>
      </w:r>
    </w:p>
  </w:endnote>
  <w:endnote w:type="continuationSeparator" w:id="0">
    <w:p w14:paraId="249C4743" w14:textId="77777777" w:rsidR="00AA0758" w:rsidRDefault="00AA0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6730D" w14:textId="77777777" w:rsidR="00AA0758" w:rsidRDefault="00AA0758">
      <w:pPr>
        <w:spacing w:after="0" w:line="259" w:lineRule="auto"/>
        <w:ind w:left="0" w:right="0" w:firstLine="0"/>
        <w:jc w:val="left"/>
      </w:pPr>
      <w:r>
        <w:separator/>
      </w:r>
    </w:p>
  </w:footnote>
  <w:footnote w:type="continuationSeparator" w:id="0">
    <w:p w14:paraId="3CA6A2C6" w14:textId="77777777" w:rsidR="00AA0758" w:rsidRDefault="00AA0758">
      <w:pPr>
        <w:spacing w:after="0" w:line="259" w:lineRule="auto"/>
        <w:ind w:left="0" w:right="0" w:firstLine="0"/>
        <w:jc w:val="left"/>
      </w:pPr>
      <w:r>
        <w:continuationSeparator/>
      </w:r>
    </w:p>
  </w:footnote>
  <w:footnote w:id="1">
    <w:p w14:paraId="7470F2A2" w14:textId="77777777" w:rsidR="003574D2" w:rsidRDefault="00AA0758">
      <w:pPr>
        <w:pStyle w:val="footnotedescription"/>
      </w:pPr>
      <w:r>
        <w:rPr>
          <w:rStyle w:val="footnotemark"/>
        </w:rPr>
        <w:footnoteRef/>
      </w:r>
      <w:r>
        <w:t xml:space="preserve"> Global Life-</w:t>
      </w:r>
      <w:proofErr w:type="spellStart"/>
      <w:r>
        <w:t>Work</w:t>
      </w:r>
      <w:proofErr w:type="spellEnd"/>
      <w:r>
        <w:t xml:space="preserve"> </w:t>
      </w:r>
      <w:proofErr w:type="spellStart"/>
      <w:r>
        <w:t>Balance</w:t>
      </w:r>
      <w:proofErr w:type="spellEnd"/>
      <w:r>
        <w:t xml:space="preserve"> Index (röviden: GLWBI)</w:t>
      </w:r>
      <w:r>
        <w:rPr>
          <w:rFonts w:ascii="Calibri" w:eastAsia="Calibri" w:hAnsi="Calibri" w:cs="Calibri"/>
        </w:rPr>
        <w:t xml:space="preserve"> </w:t>
      </w:r>
    </w:p>
  </w:footnote>
  <w:footnote w:id="2">
    <w:p w14:paraId="2C19279D" w14:textId="77777777" w:rsidR="003574D2" w:rsidRDefault="00AA0758">
      <w:pPr>
        <w:pStyle w:val="footnotedescription"/>
        <w:jc w:val="both"/>
      </w:pPr>
      <w:r>
        <w:rPr>
          <w:rStyle w:val="footnotemark"/>
        </w:rPr>
        <w:footnoteRef/>
      </w:r>
      <w:r>
        <w:t xml:space="preserve"> Az Eurostat „Dolgozik-e otthonról?” kérdésére a </w:t>
      </w:r>
      <w:r>
        <w:rPr>
          <w:i/>
        </w:rPr>
        <w:t>rendszeresen</w:t>
      </w:r>
      <w:r>
        <w:t xml:space="preserve"> és a </w:t>
      </w:r>
      <w:r>
        <w:rPr>
          <w:i/>
        </w:rPr>
        <w:t>néha</w:t>
      </w:r>
      <w:r>
        <w:t xml:space="preserve"> értékekkel válaszolók aránya.</w:t>
      </w:r>
      <w:r>
        <w:t xml:space="preserve"> </w:t>
      </w:r>
    </w:p>
  </w:footnote>
  <w:footnote w:id="3">
    <w:p w14:paraId="5C118820" w14:textId="77777777" w:rsidR="003574D2" w:rsidRDefault="00AA0758">
      <w:pPr>
        <w:pStyle w:val="footnotedescription"/>
        <w:spacing w:line="255" w:lineRule="auto"/>
      </w:pPr>
      <w:r>
        <w:rPr>
          <w:rStyle w:val="footnotemark"/>
        </w:rPr>
        <w:footnoteRef/>
      </w:r>
      <w:r>
        <w:t xml:space="preserve"> Dánia, Svédország és Norvégia mellett ez az adat csak a finn adatszolgáltatást tartalmazza, Izlandról 2021-ben nem érkezett adat.</w:t>
      </w:r>
      <w:r>
        <w:t xml:space="preserve"> </w:t>
      </w:r>
    </w:p>
  </w:footnote>
  <w:footnote w:id="4">
    <w:p w14:paraId="27A02884" w14:textId="77777777" w:rsidR="003574D2" w:rsidRDefault="00AA0758">
      <w:pPr>
        <w:pStyle w:val="footnotedescription"/>
      </w:pPr>
      <w:r>
        <w:rPr>
          <w:rStyle w:val="footnotemark"/>
        </w:rPr>
        <w:footnoteRef/>
      </w:r>
      <w:r>
        <w:t xml:space="preserve"> Az adóalap az érték 1,18-szorosa, amit 13% szociális hozzájárulási adó és 15% SZJA sújt.</w:t>
      </w:r>
      <w:r>
        <w:t xml:space="preserve"> </w:t>
      </w:r>
    </w:p>
  </w:footnote>
  <w:footnote w:id="5">
    <w:p w14:paraId="463F1137" w14:textId="77777777" w:rsidR="003574D2" w:rsidRDefault="00AA0758">
      <w:pPr>
        <w:pStyle w:val="footnotedescription"/>
      </w:pPr>
      <w:r>
        <w:rPr>
          <w:rStyle w:val="footnotemark"/>
        </w:rPr>
        <w:footnoteRef/>
      </w:r>
      <w:r>
        <w:t xml:space="preserve"> Online egészségügyi platform</w:t>
      </w:r>
      <w:r>
        <w:t xml:space="preserve"> </w:t>
      </w:r>
    </w:p>
  </w:footnote>
  <w:footnote w:id="6">
    <w:p w14:paraId="7C844CD5" w14:textId="77777777" w:rsidR="003574D2" w:rsidRDefault="00AA0758">
      <w:pPr>
        <w:pStyle w:val="footnotedescription"/>
      </w:pPr>
      <w:r>
        <w:rPr>
          <w:rStyle w:val="footnotemark"/>
        </w:rPr>
        <w:footnoteRef/>
      </w:r>
      <w:r>
        <w:t xml:space="preserve"> Az adóalap az érték 1,18-szorosa, amit 13% szociális hozzájárulási adó és 15% SZJA sújt.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E7BD5"/>
    <w:multiLevelType w:val="hybridMultilevel"/>
    <w:tmpl w:val="CEFE8ABE"/>
    <w:lvl w:ilvl="0" w:tplc="2B2A4300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EA82C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40665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DA571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CA1EC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680DC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B85E8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52917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AEDED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C03121"/>
    <w:multiLevelType w:val="hybridMultilevel"/>
    <w:tmpl w:val="F314DE14"/>
    <w:lvl w:ilvl="0" w:tplc="3A6210CA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5C602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3A693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B2514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E6D89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4A80AE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1AE92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126BE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70BC6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1F19F3"/>
    <w:multiLevelType w:val="hybridMultilevel"/>
    <w:tmpl w:val="5720BBBA"/>
    <w:lvl w:ilvl="0" w:tplc="73D66434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849F1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3ACA5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A4F2B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34481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C28EC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4C69C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0CD9C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742F47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F610B0"/>
    <w:multiLevelType w:val="hybridMultilevel"/>
    <w:tmpl w:val="DD5EDD3A"/>
    <w:lvl w:ilvl="0" w:tplc="B46299CC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5E7DA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4CE10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C1EBC1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069F7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DC25D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A42B4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900F8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ACEBF3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BB5C49"/>
    <w:multiLevelType w:val="hybridMultilevel"/>
    <w:tmpl w:val="57060EE0"/>
    <w:lvl w:ilvl="0" w:tplc="26F04FBC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182AE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83831E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DA6FE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6EC93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F2553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6AF94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BE6BF9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A2C8B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9E41BE"/>
    <w:multiLevelType w:val="hybridMultilevel"/>
    <w:tmpl w:val="A364B2A2"/>
    <w:lvl w:ilvl="0" w:tplc="8B000496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E827B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C2BD3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3EA20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32CCD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D284D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188F0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9CDF9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3A26B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7B5702"/>
    <w:multiLevelType w:val="hybridMultilevel"/>
    <w:tmpl w:val="53708588"/>
    <w:lvl w:ilvl="0" w:tplc="494C7DAC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8EAC6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EE8AD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6ADBD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76EE5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22602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028AA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8A80D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4C6CC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91300F0"/>
    <w:multiLevelType w:val="hybridMultilevel"/>
    <w:tmpl w:val="6EBE0CDE"/>
    <w:lvl w:ilvl="0" w:tplc="FA9E2756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38573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7C2B7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224AC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C4153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A09AA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F6B01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BCB6A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E65E1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B31322F"/>
    <w:multiLevelType w:val="hybridMultilevel"/>
    <w:tmpl w:val="08502CAC"/>
    <w:lvl w:ilvl="0" w:tplc="0CAA386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1C048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8E8E9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FC29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BCF8B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4818A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E2A92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FA4D9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1C204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E3C70A9"/>
    <w:multiLevelType w:val="hybridMultilevel"/>
    <w:tmpl w:val="8710D142"/>
    <w:lvl w:ilvl="0" w:tplc="62164F90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1AA79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E483E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D32A71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D036C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58AF2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74989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5A6467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8E8D8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FC72A95"/>
    <w:multiLevelType w:val="hybridMultilevel"/>
    <w:tmpl w:val="86A00906"/>
    <w:lvl w:ilvl="0" w:tplc="7A942286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7E0D5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141B6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66602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7A0CA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9E651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76F86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9A361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A2A2A4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0E21AE7"/>
    <w:multiLevelType w:val="hybridMultilevel"/>
    <w:tmpl w:val="A2066EF4"/>
    <w:lvl w:ilvl="0" w:tplc="17428690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08EABA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4625DE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D22F544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B0E85E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30B3A2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EE73A0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06C8F02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3E4F62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220347E"/>
    <w:multiLevelType w:val="hybridMultilevel"/>
    <w:tmpl w:val="F4F4D4AA"/>
    <w:lvl w:ilvl="0" w:tplc="2674B23E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FE820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7E2A6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B4BBE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C4F68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DC34E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ECBC5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5889C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D4123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49D3A26"/>
    <w:multiLevelType w:val="hybridMultilevel"/>
    <w:tmpl w:val="F33857B8"/>
    <w:lvl w:ilvl="0" w:tplc="92C2B98A">
      <w:start w:val="1001"/>
      <w:numFmt w:val="upperRoman"/>
      <w:pStyle w:val="Cmsor1"/>
      <w:lvlText w:val="%1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967C9802">
      <w:start w:val="1"/>
      <w:numFmt w:val="lowerLetter"/>
      <w:lvlText w:val="%2"/>
      <w:lvlJc w:val="left"/>
      <w:pPr>
        <w:ind w:left="188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02526E46">
      <w:start w:val="1"/>
      <w:numFmt w:val="lowerRoman"/>
      <w:lvlText w:val="%3"/>
      <w:lvlJc w:val="left"/>
      <w:pPr>
        <w:ind w:left="260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EAD69444">
      <w:start w:val="1"/>
      <w:numFmt w:val="decimal"/>
      <w:lvlText w:val="%4"/>
      <w:lvlJc w:val="left"/>
      <w:pPr>
        <w:ind w:left="332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822673C0">
      <w:start w:val="1"/>
      <w:numFmt w:val="lowerLetter"/>
      <w:lvlText w:val="%5"/>
      <w:lvlJc w:val="left"/>
      <w:pPr>
        <w:ind w:left="404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0770D036">
      <w:start w:val="1"/>
      <w:numFmt w:val="lowerRoman"/>
      <w:lvlText w:val="%6"/>
      <w:lvlJc w:val="left"/>
      <w:pPr>
        <w:ind w:left="476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2BA4AAE4">
      <w:start w:val="1"/>
      <w:numFmt w:val="decimal"/>
      <w:lvlText w:val="%7"/>
      <w:lvlJc w:val="left"/>
      <w:pPr>
        <w:ind w:left="548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865ACF56">
      <w:start w:val="1"/>
      <w:numFmt w:val="lowerLetter"/>
      <w:lvlText w:val="%8"/>
      <w:lvlJc w:val="left"/>
      <w:pPr>
        <w:ind w:left="620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A17A58A0">
      <w:start w:val="1"/>
      <w:numFmt w:val="lowerRoman"/>
      <w:lvlText w:val="%9"/>
      <w:lvlJc w:val="left"/>
      <w:pPr>
        <w:ind w:left="692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4CC3088"/>
    <w:multiLevelType w:val="hybridMultilevel"/>
    <w:tmpl w:val="0C686F8E"/>
    <w:lvl w:ilvl="0" w:tplc="0792C65C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1E289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B0234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9E026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FCF23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90E55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FCFD5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9637D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9AB3A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4F3648F"/>
    <w:multiLevelType w:val="hybridMultilevel"/>
    <w:tmpl w:val="20C0C4DE"/>
    <w:lvl w:ilvl="0" w:tplc="1A22DB0E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BEF29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0CD4A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9CF66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4A757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F4E1F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3C02D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4EAC1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B0356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93561705">
    <w:abstractNumId w:val="8"/>
  </w:num>
  <w:num w:numId="2" w16cid:durableId="1753043222">
    <w:abstractNumId w:val="6"/>
  </w:num>
  <w:num w:numId="3" w16cid:durableId="521824553">
    <w:abstractNumId w:val="1"/>
  </w:num>
  <w:num w:numId="4" w16cid:durableId="807167520">
    <w:abstractNumId w:val="4"/>
  </w:num>
  <w:num w:numId="5" w16cid:durableId="719327917">
    <w:abstractNumId w:val="15"/>
  </w:num>
  <w:num w:numId="6" w16cid:durableId="777606590">
    <w:abstractNumId w:val="3"/>
  </w:num>
  <w:num w:numId="7" w16cid:durableId="2139445312">
    <w:abstractNumId w:val="2"/>
  </w:num>
  <w:num w:numId="8" w16cid:durableId="142889278">
    <w:abstractNumId w:val="0"/>
  </w:num>
  <w:num w:numId="9" w16cid:durableId="518858591">
    <w:abstractNumId w:val="12"/>
  </w:num>
  <w:num w:numId="10" w16cid:durableId="782917012">
    <w:abstractNumId w:val="11"/>
  </w:num>
  <w:num w:numId="11" w16cid:durableId="243535884">
    <w:abstractNumId w:val="10"/>
  </w:num>
  <w:num w:numId="12" w16cid:durableId="2126535891">
    <w:abstractNumId w:val="9"/>
  </w:num>
  <w:num w:numId="13" w16cid:durableId="1332634313">
    <w:abstractNumId w:val="7"/>
  </w:num>
  <w:num w:numId="14" w16cid:durableId="374741796">
    <w:abstractNumId w:val="14"/>
  </w:num>
  <w:num w:numId="15" w16cid:durableId="832336006">
    <w:abstractNumId w:val="5"/>
  </w:num>
  <w:num w:numId="16" w16cid:durableId="15024328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D2"/>
    <w:rsid w:val="003574D2"/>
    <w:rsid w:val="00A87D5F"/>
    <w:rsid w:val="00AA0758"/>
    <w:rsid w:val="00CB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44A63"/>
  <w15:docId w15:val="{C4FD2A8A-9AA0-47B8-AB05-1EAE8C59C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163" w:line="270" w:lineRule="auto"/>
      <w:ind w:left="10" w:right="4266" w:hanging="10"/>
      <w:jc w:val="both"/>
    </w:pPr>
    <w:rPr>
      <w:rFonts w:ascii="Georgia" w:eastAsia="Georgia" w:hAnsi="Georgia" w:cs="Georgia"/>
      <w:color w:val="000000"/>
    </w:rPr>
  </w:style>
  <w:style w:type="paragraph" w:styleId="Cmsor1">
    <w:name w:val="heading 1"/>
    <w:next w:val="Norml"/>
    <w:link w:val="Cmsor1Char"/>
    <w:uiPriority w:val="9"/>
    <w:qFormat/>
    <w:pPr>
      <w:keepNext/>
      <w:keepLines/>
      <w:numPr>
        <w:numId w:val="16"/>
      </w:numPr>
      <w:spacing w:after="0" w:line="259" w:lineRule="auto"/>
      <w:ind w:left="10" w:right="5" w:hanging="10"/>
      <w:outlineLvl w:val="0"/>
    </w:pPr>
    <w:rPr>
      <w:rFonts w:ascii="Calibri" w:eastAsia="Calibri" w:hAnsi="Calibri" w:cs="Calibri"/>
      <w:b/>
      <w:color w:val="000000"/>
      <w:sz w:val="36"/>
    </w:rPr>
  </w:style>
  <w:style w:type="paragraph" w:styleId="Cmsor2">
    <w:name w:val="heading 2"/>
    <w:next w:val="Norml"/>
    <w:link w:val="Cmsor2Char"/>
    <w:uiPriority w:val="9"/>
    <w:unhideWhenUsed/>
    <w:qFormat/>
    <w:pPr>
      <w:keepNext/>
      <w:keepLines/>
      <w:spacing w:after="32" w:line="259" w:lineRule="auto"/>
      <w:ind w:left="10" w:hanging="10"/>
      <w:outlineLvl w:val="1"/>
    </w:pPr>
    <w:rPr>
      <w:rFonts w:ascii="Calibri" w:eastAsia="Calibri" w:hAnsi="Calibri" w:cs="Calibri"/>
      <w:b/>
      <w:color w:val="000000"/>
      <w:sz w:val="32"/>
    </w:rPr>
  </w:style>
  <w:style w:type="paragraph" w:styleId="Cmsor3">
    <w:name w:val="heading 3"/>
    <w:next w:val="Norml"/>
    <w:link w:val="Cmsor3Char"/>
    <w:uiPriority w:val="9"/>
    <w:unhideWhenUsed/>
    <w:qFormat/>
    <w:pPr>
      <w:keepNext/>
      <w:keepLines/>
      <w:spacing w:after="52" w:line="268" w:lineRule="auto"/>
      <w:ind w:left="10" w:hanging="10"/>
      <w:outlineLvl w:val="2"/>
    </w:pPr>
    <w:rPr>
      <w:rFonts w:ascii="Calibri" w:eastAsia="Calibri" w:hAnsi="Calibri" w:cs="Calibri"/>
      <w:b/>
      <w:i/>
      <w:color w:val="000000"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link w:val="Cmsor3"/>
    <w:rPr>
      <w:rFonts w:ascii="Calibri" w:eastAsia="Calibri" w:hAnsi="Calibri" w:cs="Calibri"/>
      <w:b/>
      <w:i/>
      <w:color w:val="000000"/>
      <w:sz w:val="28"/>
    </w:rPr>
  </w:style>
  <w:style w:type="character" w:customStyle="1" w:styleId="Cmsor2Char">
    <w:name w:val="Címsor 2 Char"/>
    <w:link w:val="Cmsor2"/>
    <w:rPr>
      <w:rFonts w:ascii="Calibri" w:eastAsia="Calibri" w:hAnsi="Calibri" w:cs="Calibri"/>
      <w:b/>
      <w:color w:val="000000"/>
      <w:sz w:val="32"/>
    </w:rPr>
  </w:style>
  <w:style w:type="paragraph" w:customStyle="1" w:styleId="footnotedescription">
    <w:name w:val="footnote description"/>
    <w:next w:val="Norml"/>
    <w:link w:val="footnotedescriptionChar"/>
    <w:hidden/>
    <w:pPr>
      <w:spacing w:after="0" w:line="259" w:lineRule="auto"/>
    </w:pPr>
    <w:rPr>
      <w:rFonts w:ascii="Georgia" w:eastAsia="Georgia" w:hAnsi="Georgia" w:cs="Georgia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Georgia" w:eastAsia="Georgia" w:hAnsi="Georgia" w:cs="Georgia"/>
      <w:color w:val="000000"/>
      <w:sz w:val="20"/>
    </w:rPr>
  </w:style>
  <w:style w:type="character" w:customStyle="1" w:styleId="Cmsor1Char">
    <w:name w:val="Címsor 1 Char"/>
    <w:link w:val="Cmsor1"/>
    <w:rPr>
      <w:rFonts w:ascii="Calibri" w:eastAsia="Calibri" w:hAnsi="Calibri" w:cs="Calibri"/>
      <w:b/>
      <w:color w:val="000000"/>
      <w:sz w:val="36"/>
    </w:rPr>
  </w:style>
  <w:style w:type="paragraph" w:styleId="TJ1">
    <w:name w:val="toc 1"/>
    <w:hidden/>
    <w:pPr>
      <w:spacing w:after="124" w:line="259" w:lineRule="auto"/>
      <w:ind w:left="25" w:right="22" w:hanging="10"/>
      <w:jc w:val="both"/>
    </w:pPr>
    <w:rPr>
      <w:rFonts w:ascii="Calibri" w:eastAsia="Calibri" w:hAnsi="Calibri" w:cs="Calibri"/>
      <w:color w:val="000000"/>
    </w:rPr>
  </w:style>
  <w:style w:type="paragraph" w:styleId="TJ2">
    <w:name w:val="toc 2"/>
    <w:hidden/>
    <w:pPr>
      <w:spacing w:after="124" w:line="259" w:lineRule="auto"/>
      <w:ind w:left="250" w:right="22" w:hanging="10"/>
      <w:jc w:val="both"/>
    </w:pPr>
    <w:rPr>
      <w:rFonts w:ascii="Calibri" w:eastAsia="Calibri" w:hAnsi="Calibri" w:cs="Calibri"/>
      <w:color w:val="000000"/>
    </w:rPr>
  </w:style>
  <w:style w:type="paragraph" w:styleId="TJ3">
    <w:name w:val="toc 3"/>
    <w:hidden/>
    <w:pPr>
      <w:spacing w:after="124" w:line="259" w:lineRule="auto"/>
      <w:ind w:left="505" w:right="22" w:hanging="10"/>
      <w:jc w:val="both"/>
    </w:pPr>
    <w:rPr>
      <w:rFonts w:ascii="Calibri" w:eastAsia="Calibri" w:hAnsi="Calibri" w:cs="Calibri"/>
      <w:color w:val="000000"/>
    </w:rPr>
  </w:style>
  <w:style w:type="character" w:customStyle="1" w:styleId="footnotemark">
    <w:name w:val="footnote mark"/>
    <w:hidden/>
    <w:rPr>
      <w:rFonts w:ascii="Georgia" w:eastAsia="Georgia" w:hAnsi="Georgia" w:cs="Georgia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8491</Words>
  <Characters>58592</Characters>
  <Application>Microsoft Office Word</Application>
  <DocSecurity>4</DocSecurity>
  <Lines>488</Lines>
  <Paragraphs>133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Erdélyi Tea</dc:creator>
  <cp:keywords/>
  <cp:lastModifiedBy>Szalai-Komka Norbert</cp:lastModifiedBy>
  <cp:revision>2</cp:revision>
  <dcterms:created xsi:type="dcterms:W3CDTF">2026-08-24T16:09:00Z</dcterms:created>
  <dcterms:modified xsi:type="dcterms:W3CDTF">2026-08-24T16:09:00Z</dcterms:modified>
</cp:coreProperties>
</file>